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989D5" w14:textId="77777777" w:rsidR="00CF2D53" w:rsidRDefault="004C5AD2" w:rsidP="00CF2D53">
      <w:pPr>
        <w:spacing w:after="240" w:line="240" w:lineRule="auto"/>
        <w:jc w:val="center"/>
        <w:rPr>
          <w:rFonts w:ascii="Arial" w:hAnsi="Arial" w:cs="Arial"/>
          <w:b/>
          <w:sz w:val="24"/>
          <w:szCs w:val="24"/>
        </w:rPr>
      </w:pPr>
      <w:r>
        <w:rPr>
          <w:rFonts w:ascii="Arial" w:hAnsi="Arial" w:cs="Arial"/>
          <w:b/>
          <w:sz w:val="24"/>
          <w:szCs w:val="24"/>
        </w:rPr>
        <w:t xml:space="preserve">OUTILS D’AIDE AU TRAITEMENT </w:t>
      </w:r>
      <w:r w:rsidR="00CF2D53">
        <w:rPr>
          <w:rFonts w:ascii="Arial" w:hAnsi="Arial" w:cs="Arial"/>
          <w:b/>
          <w:sz w:val="24"/>
          <w:szCs w:val="24"/>
        </w:rPr>
        <w:t xml:space="preserve">DES </w:t>
      </w:r>
      <w:r w:rsidR="00FB2037">
        <w:rPr>
          <w:rFonts w:ascii="Arial" w:hAnsi="Arial" w:cs="Arial"/>
          <w:b/>
          <w:sz w:val="24"/>
          <w:szCs w:val="24"/>
        </w:rPr>
        <w:t>DOSSIERS</w:t>
      </w:r>
      <w:r w:rsidR="00CF2D53">
        <w:rPr>
          <w:rFonts w:ascii="Arial" w:hAnsi="Arial" w:cs="Arial"/>
          <w:b/>
          <w:sz w:val="24"/>
          <w:szCs w:val="24"/>
        </w:rPr>
        <w:t> :</w:t>
      </w:r>
    </w:p>
    <w:p w14:paraId="0119656F" w14:textId="1C20027E" w:rsidR="00CF2D53" w:rsidRDefault="00CF2D53" w:rsidP="00CF2D53">
      <w:pPr>
        <w:spacing w:after="120" w:line="240" w:lineRule="auto"/>
        <w:jc w:val="center"/>
        <w:rPr>
          <w:rFonts w:ascii="Arial" w:hAnsi="Arial" w:cs="Arial"/>
          <w:b/>
          <w:sz w:val="24"/>
          <w:szCs w:val="24"/>
        </w:rPr>
      </w:pPr>
      <w:r w:rsidRPr="00CF2D53">
        <w:rPr>
          <w:rFonts w:ascii="Arial Black" w:hAnsi="Arial Black" w:cs="Arial"/>
          <w:b/>
          <w:sz w:val="24"/>
          <w:szCs w:val="24"/>
        </w:rPr>
        <w:t xml:space="preserve"> </w:t>
      </w:r>
      <w:r w:rsidR="003F7636" w:rsidRPr="00CF2D53">
        <w:rPr>
          <w:rFonts w:ascii="Arial Black" w:hAnsi="Arial Black" w:cs="Arial"/>
          <w:b/>
          <w:sz w:val="24"/>
          <w:szCs w:val="24"/>
        </w:rPr>
        <w:t xml:space="preserve">SERVICES </w:t>
      </w:r>
      <w:r w:rsidR="0010434E" w:rsidRPr="00CF2D53">
        <w:rPr>
          <w:rFonts w:ascii="Arial Black" w:hAnsi="Arial Black" w:cs="Arial"/>
          <w:b/>
          <w:sz w:val="24"/>
          <w:szCs w:val="24"/>
        </w:rPr>
        <w:t xml:space="preserve">ÉDUCATIFS </w:t>
      </w:r>
      <w:r w:rsidR="003F7636" w:rsidRPr="00CF2D53">
        <w:rPr>
          <w:rFonts w:ascii="Arial Black" w:hAnsi="Arial Black" w:cs="Arial"/>
          <w:b/>
          <w:sz w:val="24"/>
          <w:szCs w:val="24"/>
        </w:rPr>
        <w:t xml:space="preserve">AUX ENFANTS </w:t>
      </w:r>
      <w:r w:rsidR="0092026C">
        <w:rPr>
          <w:rFonts w:ascii="Arial Black" w:hAnsi="Arial Black" w:cs="Arial"/>
          <w:b/>
          <w:sz w:val="24"/>
          <w:szCs w:val="24"/>
        </w:rPr>
        <w:t>EN SITUATION DE HANDICAP</w:t>
      </w:r>
    </w:p>
    <w:p w14:paraId="4654F784" w14:textId="77777777" w:rsidR="00CF2D53" w:rsidRDefault="0055684E" w:rsidP="00693F6C">
      <w:pPr>
        <w:spacing w:after="480" w:line="240" w:lineRule="auto"/>
        <w:jc w:val="center"/>
        <w:rPr>
          <w:rFonts w:ascii="Arial" w:hAnsi="Arial" w:cs="Arial"/>
          <w:b/>
          <w:sz w:val="24"/>
          <w:szCs w:val="24"/>
        </w:rPr>
      </w:pPr>
      <w:r w:rsidRPr="000B6700">
        <w:rPr>
          <w:rFonts w:ascii="Arial" w:hAnsi="Arial" w:cs="Arial"/>
          <w:b/>
          <w:sz w:val="24"/>
          <w:szCs w:val="24"/>
        </w:rPr>
        <w:t>(Niveau préscolaire, primaire et secondaire)</w:t>
      </w:r>
    </w:p>
    <w:tbl>
      <w:tblPr>
        <w:tblStyle w:val="Grilledutableau"/>
        <w:tblW w:w="0" w:type="auto"/>
        <w:jc w:val="center"/>
        <w:tblLook w:val="04A0" w:firstRow="1" w:lastRow="0" w:firstColumn="1" w:lastColumn="0" w:noHBand="0" w:noVBand="1"/>
      </w:tblPr>
      <w:tblGrid>
        <w:gridCol w:w="9396"/>
      </w:tblGrid>
      <w:tr w:rsidR="00CF2D53" w14:paraId="0872E69A" w14:textId="77777777" w:rsidTr="00CF2D53">
        <w:trPr>
          <w:jc w:val="center"/>
        </w:trPr>
        <w:tc>
          <w:tcPr>
            <w:tcW w:w="9500" w:type="dxa"/>
          </w:tcPr>
          <w:p w14:paraId="44A85287" w14:textId="77777777" w:rsidR="00CF2D53" w:rsidRPr="004B5C1E" w:rsidRDefault="00CF2D53" w:rsidP="00CF2D53">
            <w:pPr>
              <w:pStyle w:val="En-tte"/>
              <w:tabs>
                <w:tab w:val="left" w:pos="1942"/>
              </w:tabs>
              <w:spacing w:before="120" w:after="120"/>
              <w:ind w:left="1942" w:hanging="1942"/>
              <w:jc w:val="both"/>
              <w:rPr>
                <w:rFonts w:ascii="Arial" w:hAnsi="Arial" w:cs="Arial"/>
                <w:b/>
                <w:bCs/>
                <w:sz w:val="24"/>
              </w:rPr>
            </w:pPr>
            <w:r w:rsidRPr="004B5C1E">
              <w:rPr>
                <w:rFonts w:ascii="Arial" w:hAnsi="Arial" w:cs="Arial"/>
                <w:b/>
                <w:sz w:val="20"/>
                <w:szCs w:val="20"/>
              </w:rPr>
              <w:t>MISE EN GARDE :</w:t>
            </w:r>
            <w:r w:rsidRPr="004B5C1E">
              <w:rPr>
                <w:rFonts w:ascii="Arial" w:hAnsi="Arial" w:cs="Arial"/>
                <w:b/>
                <w:sz w:val="20"/>
                <w:szCs w:val="20"/>
              </w:rPr>
              <w:tab/>
            </w:r>
            <w:r w:rsidRPr="004B5C1E">
              <w:rPr>
                <w:rFonts w:ascii="Arial" w:hAnsi="Arial" w:cs="Arial"/>
                <w:b/>
                <w:sz w:val="20"/>
                <w:szCs w:val="20"/>
              </w:rPr>
              <w:tab/>
            </w:r>
            <w:r w:rsidR="00844257" w:rsidRPr="00844257">
              <w:rPr>
                <w:rFonts w:ascii="Arial" w:hAnsi="Arial" w:cs="Arial"/>
                <w:b/>
                <w:sz w:val="20"/>
                <w:szCs w:val="20"/>
              </w:rPr>
              <w:t>Cet outil ne tient pas lieu d’avis juridique et ne couvre que les situations les plus couramment</w:t>
            </w:r>
            <w:r w:rsidR="009A3FB0">
              <w:rPr>
                <w:rFonts w:ascii="Arial" w:hAnsi="Arial" w:cs="Arial"/>
                <w:b/>
                <w:sz w:val="20"/>
                <w:szCs w:val="20"/>
              </w:rPr>
              <w:t xml:space="preserve"> rencontrées.</w:t>
            </w:r>
          </w:p>
        </w:tc>
      </w:tr>
    </w:tbl>
    <w:p w14:paraId="3B056874" w14:textId="77777777" w:rsidR="000666A5" w:rsidRPr="00703A6F" w:rsidRDefault="000666A5" w:rsidP="00693F6C">
      <w:pPr>
        <w:spacing w:after="240" w:line="240" w:lineRule="auto"/>
        <w:rPr>
          <w:rFonts w:ascii="Arial" w:hAnsi="Arial" w:cs="Arial"/>
          <w:b/>
          <w:sz w:val="24"/>
          <w:szCs w:val="20"/>
        </w:rPr>
      </w:pPr>
    </w:p>
    <w:tbl>
      <w:tblPr>
        <w:tblStyle w:val="Grilledutableau"/>
        <w:tblW w:w="0" w:type="auto"/>
        <w:jc w:val="center"/>
        <w:tblLook w:val="04A0" w:firstRow="1" w:lastRow="0" w:firstColumn="1" w:lastColumn="0" w:noHBand="0" w:noVBand="1"/>
      </w:tblPr>
      <w:tblGrid>
        <w:gridCol w:w="2091"/>
        <w:gridCol w:w="7305"/>
      </w:tblGrid>
      <w:tr w:rsidR="00693F6C" w:rsidRPr="000B6700" w14:paraId="4DCF90F1" w14:textId="77777777" w:rsidTr="00C5696F">
        <w:trPr>
          <w:jc w:val="center"/>
        </w:trPr>
        <w:tc>
          <w:tcPr>
            <w:tcW w:w="2093" w:type="dxa"/>
          </w:tcPr>
          <w:p w14:paraId="5985010E" w14:textId="77777777" w:rsidR="00693F6C" w:rsidRPr="00CF2D53" w:rsidRDefault="00693F6C" w:rsidP="00D80C57">
            <w:pPr>
              <w:spacing w:before="120" w:after="120"/>
              <w:ind w:left="72" w:right="72"/>
              <w:rPr>
                <w:rFonts w:ascii="Arial" w:hAnsi="Arial" w:cs="Arial"/>
                <w:b/>
                <w:sz w:val="24"/>
                <w:szCs w:val="24"/>
              </w:rPr>
            </w:pPr>
            <w:r w:rsidRPr="00CF2D53">
              <w:rPr>
                <w:rFonts w:ascii="Arial" w:hAnsi="Arial" w:cs="Arial"/>
                <w:b/>
                <w:sz w:val="24"/>
                <w:szCs w:val="24"/>
              </w:rPr>
              <w:t>Cadre légal</w:t>
            </w:r>
          </w:p>
        </w:tc>
        <w:tc>
          <w:tcPr>
            <w:tcW w:w="7453" w:type="dxa"/>
          </w:tcPr>
          <w:p w14:paraId="5E866AE6" w14:textId="77777777" w:rsidR="00693F6C" w:rsidRPr="004B5C1E" w:rsidRDefault="00693F6C" w:rsidP="006636A5">
            <w:pPr>
              <w:spacing w:before="120" w:after="120" w:line="233" w:lineRule="auto"/>
              <w:ind w:left="72" w:right="72"/>
              <w:jc w:val="both"/>
              <w:rPr>
                <w:rFonts w:ascii="Arial" w:hAnsi="Arial" w:cs="Arial"/>
                <w:b/>
                <w:i/>
                <w:sz w:val="24"/>
                <w:szCs w:val="24"/>
              </w:rPr>
            </w:pPr>
            <w:r w:rsidRPr="004B5C1E">
              <w:rPr>
                <w:rFonts w:ascii="Arial" w:hAnsi="Arial" w:cs="Arial"/>
                <w:b/>
                <w:i/>
                <w:sz w:val="24"/>
                <w:szCs w:val="24"/>
              </w:rPr>
              <w:t>CHARTE DES DROITS ET LIBERTÉS DE LA PERSONNE</w:t>
            </w:r>
          </w:p>
          <w:p w14:paraId="65BFDA36" w14:textId="77777777" w:rsidR="00693F6C" w:rsidRPr="004B5C1E" w:rsidRDefault="00693F6C" w:rsidP="006636A5">
            <w:pPr>
              <w:autoSpaceDE w:val="0"/>
              <w:autoSpaceDN w:val="0"/>
              <w:adjustRightInd w:val="0"/>
              <w:spacing w:before="120" w:after="240" w:line="233" w:lineRule="auto"/>
              <w:ind w:left="72" w:right="72"/>
              <w:jc w:val="both"/>
              <w:rPr>
                <w:rFonts w:ascii="Arial" w:hAnsi="Arial" w:cs="Arial"/>
                <w:sz w:val="24"/>
                <w:szCs w:val="24"/>
              </w:rPr>
            </w:pPr>
            <w:r w:rsidRPr="004B5C1E">
              <w:rPr>
                <w:rFonts w:ascii="Arial" w:hAnsi="Arial" w:cs="Arial"/>
                <w:sz w:val="24"/>
                <w:szCs w:val="24"/>
              </w:rPr>
              <w:t>(RLRQ, c. C-12)</w:t>
            </w:r>
          </w:p>
          <w:p w14:paraId="0C232F99" w14:textId="77777777" w:rsidR="00693F6C" w:rsidRDefault="00693F6C" w:rsidP="006636A5">
            <w:pPr>
              <w:tabs>
                <w:tab w:val="left" w:pos="569"/>
              </w:tabs>
              <w:spacing w:before="120" w:after="120" w:line="233" w:lineRule="auto"/>
              <w:ind w:left="72" w:right="72"/>
              <w:jc w:val="both"/>
              <w:rPr>
                <w:rFonts w:ascii="Arial" w:hAnsi="Arial" w:cs="Arial"/>
                <w:sz w:val="24"/>
                <w:szCs w:val="24"/>
              </w:rPr>
            </w:pPr>
            <w:r w:rsidRPr="00CF2D53">
              <w:rPr>
                <w:rFonts w:ascii="Arial" w:hAnsi="Arial" w:cs="Arial"/>
                <w:b/>
                <w:sz w:val="24"/>
                <w:szCs w:val="24"/>
              </w:rPr>
              <w:t>10.</w:t>
            </w:r>
            <w:r>
              <w:rPr>
                <w:rFonts w:ascii="Arial" w:hAnsi="Arial" w:cs="Arial"/>
                <w:sz w:val="24"/>
                <w:szCs w:val="24"/>
              </w:rPr>
              <w:tab/>
            </w:r>
            <w:r w:rsidRPr="00CF2D53">
              <w:rPr>
                <w:rFonts w:ascii="Arial" w:hAnsi="Arial" w:cs="Arial"/>
                <w:sz w:val="24"/>
                <w:szCs w:val="24"/>
              </w:rPr>
              <w:t>Toute personne a droit à la reconnaissance et à l’exercice, en pleine égalité, des droits et libertés de la personne, sans distinction, exclusion ou préférence fondée sur la race, la couleur, le sexe,</w:t>
            </w:r>
            <w:r w:rsidR="006D0D3E">
              <w:rPr>
                <w:rFonts w:ascii="Arial" w:hAnsi="Arial" w:cs="Arial"/>
                <w:sz w:val="24"/>
                <w:szCs w:val="24"/>
              </w:rPr>
              <w:t xml:space="preserve"> l’identité ou l’expression de genre,</w:t>
            </w:r>
            <w:r w:rsidRPr="00CF2D53">
              <w:rPr>
                <w:rFonts w:ascii="Arial" w:hAnsi="Arial" w:cs="Arial"/>
                <w:sz w:val="24"/>
                <w:szCs w:val="24"/>
              </w:rPr>
              <w:t xml:space="preserve"> la grossesse, l’orientation sexuelle, l’état civil, l’âge sauf dans la mesure prévue par la loi, la religion, les convictions politiques, la langue, l’origine ethnique ou nationale, la condition sociale, le handicap ou l’utilisation d’un moyen pour pallier ce handicap.</w:t>
            </w:r>
          </w:p>
          <w:p w14:paraId="3CE5BC3A" w14:textId="77777777" w:rsidR="00693F6C" w:rsidRDefault="00693F6C" w:rsidP="009C49EF">
            <w:pPr>
              <w:tabs>
                <w:tab w:val="left" w:pos="569"/>
              </w:tabs>
              <w:spacing w:before="120" w:after="240" w:line="233" w:lineRule="auto"/>
              <w:ind w:left="74" w:right="74"/>
              <w:jc w:val="both"/>
              <w:rPr>
                <w:rFonts w:ascii="Arial" w:hAnsi="Arial" w:cs="Arial"/>
                <w:sz w:val="24"/>
                <w:szCs w:val="24"/>
              </w:rPr>
            </w:pPr>
            <w:r w:rsidRPr="00CF2D53">
              <w:rPr>
                <w:rFonts w:ascii="Arial" w:hAnsi="Arial" w:cs="Arial"/>
                <w:sz w:val="24"/>
                <w:szCs w:val="24"/>
              </w:rPr>
              <w:t>Il y a discrimination lorsqu’une telle distinction, exclusion ou préférence a pour effet de détruire ou de compromettre ce droit.</w:t>
            </w:r>
          </w:p>
          <w:p w14:paraId="5472C706" w14:textId="77777777" w:rsidR="00693F6C" w:rsidRDefault="00693F6C" w:rsidP="009C49EF">
            <w:pPr>
              <w:tabs>
                <w:tab w:val="left" w:pos="569"/>
              </w:tabs>
              <w:spacing w:before="120" w:after="240" w:line="233" w:lineRule="auto"/>
              <w:ind w:left="74" w:right="74"/>
              <w:jc w:val="both"/>
              <w:rPr>
                <w:rFonts w:ascii="Arial" w:hAnsi="Arial" w:cs="Arial"/>
                <w:sz w:val="24"/>
                <w:szCs w:val="24"/>
              </w:rPr>
            </w:pPr>
            <w:r w:rsidRPr="00CF2D53">
              <w:rPr>
                <w:rFonts w:ascii="Arial" w:hAnsi="Arial" w:cs="Arial"/>
                <w:b/>
                <w:sz w:val="24"/>
                <w:szCs w:val="24"/>
              </w:rPr>
              <w:t>12.</w:t>
            </w:r>
            <w:r>
              <w:rPr>
                <w:rFonts w:ascii="Arial" w:hAnsi="Arial" w:cs="Arial"/>
                <w:sz w:val="24"/>
                <w:szCs w:val="24"/>
              </w:rPr>
              <w:tab/>
            </w:r>
            <w:r w:rsidRPr="00CF2D53">
              <w:rPr>
                <w:rFonts w:ascii="Arial" w:hAnsi="Arial" w:cs="Arial"/>
                <w:sz w:val="24"/>
                <w:szCs w:val="24"/>
              </w:rPr>
              <w:t>Nul ne peut, par discrimination, refuser de conclure un acte juridique ayant pour objet des biens ou des services ordinairement offerts au public.</w:t>
            </w:r>
          </w:p>
          <w:p w14:paraId="524A15BC" w14:textId="77777777" w:rsidR="00693F6C" w:rsidRPr="00CF2D53" w:rsidRDefault="00693F6C" w:rsidP="006636A5">
            <w:pPr>
              <w:tabs>
                <w:tab w:val="left" w:pos="569"/>
              </w:tabs>
              <w:spacing w:before="120" w:after="120" w:line="233" w:lineRule="auto"/>
              <w:ind w:left="72" w:right="72"/>
              <w:jc w:val="both"/>
              <w:rPr>
                <w:rFonts w:ascii="Arial" w:hAnsi="Arial" w:cs="Arial"/>
                <w:sz w:val="24"/>
                <w:szCs w:val="24"/>
              </w:rPr>
            </w:pPr>
            <w:r w:rsidRPr="00CF2D53">
              <w:rPr>
                <w:rFonts w:ascii="Arial" w:hAnsi="Arial" w:cs="Arial"/>
                <w:b/>
                <w:sz w:val="24"/>
                <w:szCs w:val="24"/>
              </w:rPr>
              <w:t>40.</w:t>
            </w:r>
            <w:r>
              <w:rPr>
                <w:rFonts w:ascii="Arial" w:hAnsi="Arial" w:cs="Arial"/>
                <w:sz w:val="24"/>
                <w:szCs w:val="24"/>
              </w:rPr>
              <w:tab/>
            </w:r>
            <w:r w:rsidRPr="00CF2D53">
              <w:rPr>
                <w:rFonts w:ascii="Arial" w:hAnsi="Arial" w:cs="Arial"/>
                <w:sz w:val="24"/>
                <w:szCs w:val="24"/>
              </w:rPr>
              <w:t>Toute personne a droit, dans la mesure et suivant les normes prévues par la loi, à l’instruction publique gratuite.</w:t>
            </w:r>
          </w:p>
          <w:p w14:paraId="7F309DFE" w14:textId="77777777" w:rsidR="00693F6C" w:rsidRPr="00A06E69" w:rsidRDefault="00693F6C" w:rsidP="006636A5">
            <w:pPr>
              <w:pStyle w:val="Notedebasdepage"/>
              <w:tabs>
                <w:tab w:val="left" w:pos="360"/>
              </w:tabs>
              <w:spacing w:before="360" w:after="120" w:line="233" w:lineRule="auto"/>
              <w:ind w:left="72" w:right="72"/>
              <w:jc w:val="both"/>
              <w:rPr>
                <w:rFonts w:ascii="Arial" w:hAnsi="Arial" w:cs="Arial"/>
                <w:b/>
                <w:i/>
                <w:iCs/>
                <w:caps/>
                <w:sz w:val="24"/>
                <w:szCs w:val="24"/>
              </w:rPr>
            </w:pPr>
            <w:r w:rsidRPr="00A06E69">
              <w:rPr>
                <w:rFonts w:ascii="Arial" w:hAnsi="Arial" w:cs="Arial"/>
                <w:b/>
                <w:i/>
                <w:caps/>
                <w:sz w:val="24"/>
                <w:szCs w:val="24"/>
              </w:rPr>
              <w:t>Loi sur l’instruction publique</w:t>
            </w:r>
          </w:p>
          <w:p w14:paraId="072A0B2B" w14:textId="77777777" w:rsidR="00693F6C" w:rsidRPr="00CF2D53" w:rsidRDefault="00693F6C" w:rsidP="006636A5">
            <w:pPr>
              <w:pStyle w:val="Notedebasdepage"/>
              <w:tabs>
                <w:tab w:val="left" w:pos="360"/>
              </w:tabs>
              <w:spacing w:before="120" w:after="240" w:line="233" w:lineRule="auto"/>
              <w:ind w:left="72" w:right="72"/>
              <w:jc w:val="both"/>
              <w:rPr>
                <w:rFonts w:ascii="Arial" w:hAnsi="Arial" w:cs="Arial"/>
                <w:sz w:val="24"/>
                <w:szCs w:val="24"/>
              </w:rPr>
            </w:pPr>
            <w:r w:rsidRPr="00CF2D53">
              <w:rPr>
                <w:rFonts w:ascii="Arial" w:hAnsi="Arial" w:cs="Arial"/>
                <w:iCs/>
                <w:sz w:val="24"/>
                <w:szCs w:val="24"/>
              </w:rPr>
              <w:t>(</w:t>
            </w:r>
            <w:r>
              <w:rPr>
                <w:rFonts w:ascii="Arial" w:hAnsi="Arial" w:cs="Arial"/>
                <w:iCs/>
                <w:sz w:val="24"/>
                <w:szCs w:val="24"/>
              </w:rPr>
              <w:t>RLRQ</w:t>
            </w:r>
            <w:r w:rsidRPr="00CF2D53">
              <w:rPr>
                <w:rFonts w:ascii="Arial" w:hAnsi="Arial" w:cs="Arial"/>
                <w:iCs/>
                <w:sz w:val="24"/>
                <w:szCs w:val="24"/>
              </w:rPr>
              <w:t>, c. I-13.3)</w:t>
            </w:r>
          </w:p>
          <w:p w14:paraId="72FB27B1" w14:textId="7B3BA7E1" w:rsidR="00693F6C" w:rsidRDefault="00693F6C" w:rsidP="006636A5">
            <w:pPr>
              <w:tabs>
                <w:tab w:val="left" w:pos="659"/>
              </w:tabs>
              <w:spacing w:before="120" w:after="120" w:line="233" w:lineRule="auto"/>
              <w:ind w:left="72" w:right="72"/>
              <w:jc w:val="both"/>
              <w:rPr>
                <w:rFonts w:ascii="Arial" w:eastAsia="Times New Roman" w:hAnsi="Arial" w:cs="Arial"/>
                <w:color w:val="000000"/>
                <w:sz w:val="24"/>
                <w:szCs w:val="24"/>
                <w:lang w:eastAsia="fr-CA"/>
              </w:rPr>
            </w:pPr>
            <w:bookmarkStart w:id="0" w:name="D%234_Y"/>
            <w:bookmarkStart w:id="1" w:name="s234"/>
            <w:bookmarkEnd w:id="0"/>
            <w:bookmarkEnd w:id="1"/>
            <w:r w:rsidRPr="00CF2D53">
              <w:rPr>
                <w:rFonts w:ascii="Arial" w:eastAsia="Times New Roman" w:hAnsi="Arial" w:cs="Arial"/>
                <w:b/>
                <w:bCs/>
                <w:color w:val="000000"/>
                <w:sz w:val="24"/>
                <w:szCs w:val="24"/>
                <w:lang w:eastAsia="fr-CA"/>
              </w:rPr>
              <w:t>234.</w:t>
            </w:r>
            <w:r>
              <w:rPr>
                <w:rFonts w:ascii="Arial" w:eastAsia="Times New Roman" w:hAnsi="Arial" w:cs="Arial"/>
                <w:color w:val="000000"/>
                <w:sz w:val="24"/>
                <w:szCs w:val="24"/>
                <w:lang w:eastAsia="fr-CA"/>
              </w:rPr>
              <w:tab/>
            </w:r>
            <w:r w:rsidRPr="00CF2D53">
              <w:rPr>
                <w:rFonts w:ascii="Arial" w:eastAsia="Times New Roman" w:hAnsi="Arial" w:cs="Arial"/>
                <w:color w:val="000000"/>
                <w:sz w:val="24"/>
                <w:szCs w:val="24"/>
                <w:lang w:eastAsia="fr-CA"/>
              </w:rPr>
              <w:t>L</w:t>
            </w:r>
            <w:r w:rsidR="00896040">
              <w:rPr>
                <w:rFonts w:ascii="Arial" w:eastAsia="Times New Roman" w:hAnsi="Arial" w:cs="Arial"/>
                <w:color w:val="000000"/>
                <w:sz w:val="24"/>
                <w:szCs w:val="24"/>
                <w:lang w:eastAsia="fr-CA"/>
              </w:rPr>
              <w:t>e centre de service</w:t>
            </w:r>
            <w:r w:rsidR="00B2399B">
              <w:rPr>
                <w:rFonts w:ascii="Arial" w:eastAsia="Times New Roman" w:hAnsi="Arial" w:cs="Arial"/>
                <w:color w:val="000000"/>
                <w:sz w:val="24"/>
                <w:szCs w:val="24"/>
                <w:lang w:eastAsia="fr-CA"/>
              </w:rPr>
              <w:t>s</w:t>
            </w:r>
            <w:r w:rsidR="00896040">
              <w:rPr>
                <w:rFonts w:ascii="Arial" w:eastAsia="Times New Roman" w:hAnsi="Arial" w:cs="Arial"/>
                <w:color w:val="000000"/>
                <w:sz w:val="24"/>
                <w:szCs w:val="24"/>
                <w:lang w:eastAsia="fr-CA"/>
              </w:rPr>
              <w:t xml:space="preserve"> scolaire</w:t>
            </w:r>
            <w:r w:rsidRPr="00CF2D53">
              <w:rPr>
                <w:rFonts w:ascii="Arial" w:eastAsia="Times New Roman" w:hAnsi="Arial" w:cs="Arial"/>
                <w:color w:val="000000"/>
                <w:sz w:val="24"/>
                <w:szCs w:val="24"/>
                <w:lang w:eastAsia="fr-CA"/>
              </w:rPr>
              <w:t xml:space="preserve"> doit, sous réserve des articles 222 et 222.1, adapter les services éducatifs à l'élève handicapé ou en difficulté d'adaptation ou d'apprentissage selon ses besoins, d'après l'évaluation qu'elle doit faire de ses capacités selon les modalités établies </w:t>
            </w:r>
            <w:r>
              <w:rPr>
                <w:rFonts w:ascii="Arial" w:eastAsia="Times New Roman" w:hAnsi="Arial" w:cs="Arial"/>
                <w:color w:val="000000"/>
                <w:sz w:val="24"/>
                <w:szCs w:val="24"/>
                <w:lang w:eastAsia="fr-CA"/>
              </w:rPr>
              <w:t>en application du paragraphe 1° </w:t>
            </w:r>
            <w:r w:rsidRPr="00CF2D53">
              <w:rPr>
                <w:rFonts w:ascii="Arial" w:eastAsia="Times New Roman" w:hAnsi="Arial" w:cs="Arial"/>
                <w:color w:val="000000"/>
                <w:sz w:val="24"/>
                <w:szCs w:val="24"/>
                <w:lang w:eastAsia="fr-CA"/>
              </w:rPr>
              <w:t>du deuxième alinéa de l'article 235.</w:t>
            </w:r>
          </w:p>
          <w:p w14:paraId="282E9E8C" w14:textId="77777777" w:rsidR="004D74CF" w:rsidRDefault="004D74CF" w:rsidP="006636A5">
            <w:pPr>
              <w:tabs>
                <w:tab w:val="left" w:pos="659"/>
              </w:tabs>
              <w:spacing w:before="120" w:after="120" w:line="233" w:lineRule="auto"/>
              <w:ind w:left="72" w:right="72"/>
              <w:jc w:val="both"/>
              <w:rPr>
                <w:rFonts w:ascii="Arial" w:eastAsia="Times New Roman" w:hAnsi="Arial" w:cs="Arial"/>
                <w:color w:val="000000"/>
                <w:sz w:val="24"/>
                <w:szCs w:val="24"/>
                <w:lang w:eastAsia="fr-CA"/>
              </w:rPr>
            </w:pPr>
          </w:p>
          <w:p w14:paraId="1F853468" w14:textId="77777777" w:rsidR="009C49EF" w:rsidRPr="00CF2D53" w:rsidRDefault="009C49EF" w:rsidP="006636A5">
            <w:pPr>
              <w:tabs>
                <w:tab w:val="left" w:pos="659"/>
              </w:tabs>
              <w:spacing w:before="120" w:after="120" w:line="233" w:lineRule="auto"/>
              <w:ind w:left="72" w:right="72"/>
              <w:jc w:val="both"/>
              <w:rPr>
                <w:rFonts w:ascii="Arial" w:eastAsia="Times New Roman" w:hAnsi="Arial" w:cs="Arial"/>
                <w:color w:val="000000"/>
                <w:sz w:val="24"/>
                <w:szCs w:val="24"/>
                <w:lang w:eastAsia="fr-CA"/>
              </w:rPr>
            </w:pPr>
          </w:p>
          <w:p w14:paraId="54384190" w14:textId="77777777" w:rsidR="00693F6C" w:rsidRPr="00A06E69" w:rsidRDefault="00693F6C" w:rsidP="00A06E69">
            <w:pPr>
              <w:spacing w:before="240" w:after="240"/>
              <w:ind w:left="72" w:right="72"/>
              <w:jc w:val="both"/>
              <w:rPr>
                <w:rFonts w:ascii="Arial" w:eastAsia="Times New Roman" w:hAnsi="Arial" w:cs="Arial"/>
                <w:color w:val="000000"/>
                <w:sz w:val="24"/>
                <w:szCs w:val="24"/>
                <w:u w:val="single"/>
                <w:lang w:eastAsia="fr-CA"/>
              </w:rPr>
            </w:pPr>
            <w:r w:rsidRPr="00A06E69">
              <w:rPr>
                <w:rFonts w:ascii="Arial" w:eastAsia="Times New Roman" w:hAnsi="Arial" w:cs="Arial"/>
                <w:color w:val="000000"/>
                <w:sz w:val="24"/>
                <w:szCs w:val="24"/>
                <w:u w:val="single"/>
                <w:lang w:eastAsia="fr-CA"/>
              </w:rPr>
              <w:t>Organisation des services éducatifs</w:t>
            </w:r>
          </w:p>
          <w:p w14:paraId="4550570D" w14:textId="77777777" w:rsidR="00454554" w:rsidRPr="00454554" w:rsidRDefault="00693F6C" w:rsidP="00454554">
            <w:pPr>
              <w:tabs>
                <w:tab w:val="left" w:pos="659"/>
              </w:tabs>
              <w:spacing w:before="120" w:after="120"/>
              <w:ind w:left="72" w:right="72"/>
              <w:jc w:val="both"/>
              <w:rPr>
                <w:rFonts w:ascii="Arial" w:eastAsia="Times New Roman" w:hAnsi="Arial" w:cs="Arial"/>
                <w:color w:val="000000"/>
                <w:sz w:val="24"/>
                <w:szCs w:val="24"/>
                <w:lang w:eastAsia="fr-CA"/>
              </w:rPr>
            </w:pPr>
            <w:bookmarkStart w:id="2" w:name="s235"/>
            <w:bookmarkEnd w:id="2"/>
            <w:r w:rsidRPr="00CF2D53">
              <w:rPr>
                <w:rFonts w:ascii="Arial" w:eastAsia="Times New Roman" w:hAnsi="Arial" w:cs="Arial"/>
                <w:b/>
                <w:bCs/>
                <w:color w:val="000000"/>
                <w:sz w:val="24"/>
                <w:szCs w:val="24"/>
                <w:lang w:eastAsia="fr-CA"/>
              </w:rPr>
              <w:t>235.</w:t>
            </w:r>
            <w:r>
              <w:rPr>
                <w:rFonts w:ascii="Arial" w:eastAsia="Times New Roman" w:hAnsi="Arial" w:cs="Arial"/>
                <w:color w:val="000000"/>
                <w:sz w:val="24"/>
                <w:szCs w:val="24"/>
                <w:lang w:eastAsia="fr-CA"/>
              </w:rPr>
              <w:tab/>
            </w:r>
            <w:r w:rsidR="00454554" w:rsidRPr="00454554">
              <w:rPr>
                <w:rFonts w:ascii="Arial" w:eastAsia="Times New Roman" w:hAnsi="Arial" w:cs="Arial"/>
                <w:color w:val="000000"/>
                <w:sz w:val="24"/>
                <w:szCs w:val="24"/>
                <w:lang w:eastAsia="fr-CA"/>
              </w:rPr>
              <w:t>Le centre de services scolaire adopte, après consultation du comité consultatif des services aux élèves handicapés et aux élèves en difficulté d’adaptation ou d’apprentissage, une politique relative à l’organisation des services éducatifs à ces élèves qui assure l’intégration harmonieuse dans une classe ou un groupe ordinaire et aux autres activités de l’école de chacun de ces élèves lorsque l’évaluation de ses capacités et de ses besoins démontre que cette intégration est de nature à faciliter ses apprentissages et son insertion sociale et qu’elle ne constitue pas une contrainte excessive ou ne porte pas atteinte de façon importante aux droits des autres élèves.</w:t>
            </w:r>
          </w:p>
          <w:p w14:paraId="362865D7" w14:textId="77777777" w:rsidR="00454554" w:rsidRPr="00454554" w:rsidRDefault="00454554" w:rsidP="00454554">
            <w:pPr>
              <w:tabs>
                <w:tab w:val="left" w:pos="659"/>
              </w:tabs>
              <w:spacing w:before="120" w:after="120"/>
              <w:ind w:left="72" w:right="72"/>
              <w:jc w:val="both"/>
              <w:rPr>
                <w:rFonts w:ascii="Arial" w:eastAsia="Times New Roman" w:hAnsi="Arial" w:cs="Arial"/>
                <w:color w:val="000000"/>
                <w:sz w:val="24"/>
                <w:szCs w:val="24"/>
                <w:lang w:eastAsia="fr-CA"/>
              </w:rPr>
            </w:pPr>
            <w:r w:rsidRPr="001C1CAF">
              <w:rPr>
                <w:rFonts w:ascii="Arial" w:eastAsia="Times New Roman" w:hAnsi="Arial" w:cs="Arial"/>
                <w:color w:val="000000"/>
                <w:sz w:val="24"/>
                <w:szCs w:val="24"/>
                <w:lang w:eastAsia="fr-CA"/>
              </w:rPr>
              <w:t>Cette politique doit notamment prévoir:</w:t>
            </w:r>
          </w:p>
          <w:p w14:paraId="46D7B3F5" w14:textId="77777777" w:rsidR="00454554" w:rsidRPr="00454554" w:rsidRDefault="00454554" w:rsidP="00454554">
            <w:pPr>
              <w:tabs>
                <w:tab w:val="left" w:pos="659"/>
              </w:tabs>
              <w:spacing w:before="120" w:after="120"/>
              <w:ind w:left="72" w:right="72"/>
              <w:jc w:val="both"/>
              <w:rPr>
                <w:rFonts w:ascii="Arial" w:eastAsia="Times New Roman" w:hAnsi="Arial" w:cs="Arial"/>
                <w:color w:val="000000"/>
                <w:sz w:val="24"/>
                <w:szCs w:val="24"/>
                <w:lang w:eastAsia="fr-CA"/>
              </w:rPr>
            </w:pPr>
            <w:r w:rsidRPr="00454554">
              <w:rPr>
                <w:rFonts w:ascii="Arial" w:eastAsia="Times New Roman" w:hAnsi="Arial" w:cs="Arial"/>
                <w:color w:val="000000"/>
                <w:sz w:val="24"/>
                <w:szCs w:val="24"/>
                <w:lang w:eastAsia="fr-CA"/>
              </w:rPr>
              <w:t>1°  les modalités d’évaluation des élèves handicapés et des élèves en difficulté d’adaptation ou d’apprentissage, lesquelles doivent prévoir la participation des parents de l’élève et de l’élève lui-même, à moins qu’il en soit incapable;</w:t>
            </w:r>
          </w:p>
          <w:p w14:paraId="5C1FA973" w14:textId="77777777" w:rsidR="00454554" w:rsidRPr="00454554" w:rsidRDefault="00454554" w:rsidP="00454554">
            <w:pPr>
              <w:tabs>
                <w:tab w:val="left" w:pos="659"/>
              </w:tabs>
              <w:spacing w:before="120" w:after="120"/>
              <w:ind w:left="72" w:right="72"/>
              <w:jc w:val="both"/>
              <w:rPr>
                <w:rFonts w:ascii="Arial" w:eastAsia="Times New Roman" w:hAnsi="Arial" w:cs="Arial"/>
                <w:color w:val="000000"/>
                <w:sz w:val="24"/>
                <w:szCs w:val="24"/>
                <w:lang w:eastAsia="fr-CA"/>
              </w:rPr>
            </w:pPr>
            <w:r w:rsidRPr="00454554">
              <w:rPr>
                <w:rFonts w:ascii="Arial" w:eastAsia="Times New Roman" w:hAnsi="Arial" w:cs="Arial"/>
                <w:color w:val="000000"/>
                <w:sz w:val="24"/>
                <w:szCs w:val="24"/>
                <w:lang w:eastAsia="fr-CA"/>
              </w:rPr>
              <w:t>2°  les modalités d’intégration de ces élèves dans les classes ou groupes ordinaires et aux autres activités de l’école ainsi que les services d’appui à cette intégration et, s’il y a lieu, la pondération à faire pour déterminer le nombre maximal d’élèves par classe ou par groupe;</w:t>
            </w:r>
          </w:p>
          <w:p w14:paraId="45B48CC0" w14:textId="77777777" w:rsidR="00454554" w:rsidRPr="00454554" w:rsidRDefault="00454554" w:rsidP="00454554">
            <w:pPr>
              <w:tabs>
                <w:tab w:val="left" w:pos="659"/>
              </w:tabs>
              <w:spacing w:before="120" w:after="120"/>
              <w:ind w:left="72" w:right="72"/>
              <w:jc w:val="both"/>
              <w:rPr>
                <w:rFonts w:ascii="Arial" w:eastAsia="Times New Roman" w:hAnsi="Arial" w:cs="Arial"/>
                <w:color w:val="000000"/>
                <w:sz w:val="24"/>
                <w:szCs w:val="24"/>
                <w:lang w:eastAsia="fr-CA"/>
              </w:rPr>
            </w:pPr>
            <w:r w:rsidRPr="00454554">
              <w:rPr>
                <w:rFonts w:ascii="Arial" w:eastAsia="Times New Roman" w:hAnsi="Arial" w:cs="Arial"/>
                <w:color w:val="000000"/>
                <w:sz w:val="24"/>
                <w:szCs w:val="24"/>
                <w:lang w:eastAsia="fr-CA"/>
              </w:rPr>
              <w:t>3°  les modalités de regroupement de ces élèves dans des écoles, des classes ou des groupes spécialisés;</w:t>
            </w:r>
          </w:p>
          <w:p w14:paraId="411E2FDA" w14:textId="2971138E" w:rsidR="00693F6C" w:rsidRPr="00CF2D53" w:rsidRDefault="00454554" w:rsidP="00454554">
            <w:pPr>
              <w:tabs>
                <w:tab w:val="left" w:pos="659"/>
              </w:tabs>
              <w:spacing w:before="120" w:after="120"/>
              <w:ind w:left="72" w:right="72"/>
              <w:jc w:val="both"/>
              <w:rPr>
                <w:rFonts w:ascii="Arial" w:eastAsia="Times New Roman" w:hAnsi="Arial" w:cs="Arial"/>
                <w:color w:val="000000"/>
                <w:sz w:val="24"/>
                <w:szCs w:val="24"/>
                <w:lang w:eastAsia="fr-CA"/>
              </w:rPr>
            </w:pPr>
            <w:r w:rsidRPr="00454554">
              <w:rPr>
                <w:rFonts w:ascii="Arial" w:eastAsia="Times New Roman" w:hAnsi="Arial" w:cs="Arial"/>
                <w:color w:val="000000"/>
                <w:sz w:val="24"/>
                <w:szCs w:val="24"/>
                <w:lang w:eastAsia="fr-CA"/>
              </w:rPr>
              <w:t>4°  les modalités d’élaboration et d’évaluation des plans d’intervention destinés à ces élèves.</w:t>
            </w:r>
          </w:p>
          <w:p w14:paraId="36BB62F1" w14:textId="77777777" w:rsidR="00693F6C" w:rsidRPr="00CF2D53" w:rsidRDefault="00693F6C" w:rsidP="00CF2D53">
            <w:pPr>
              <w:spacing w:before="120" w:after="120"/>
              <w:ind w:left="72" w:right="72"/>
              <w:jc w:val="both"/>
              <w:rPr>
                <w:rFonts w:ascii="Arial" w:hAnsi="Arial" w:cs="Arial"/>
                <w:sz w:val="24"/>
                <w:szCs w:val="24"/>
              </w:rPr>
            </w:pPr>
            <w:bookmarkStart w:id="3" w:name="D%235_Y"/>
            <w:bookmarkEnd w:id="3"/>
            <w:r w:rsidRPr="00CF2D53">
              <w:rPr>
                <w:rFonts w:ascii="Arial" w:eastAsia="Times New Roman" w:hAnsi="Arial" w:cs="Arial"/>
                <w:color w:val="000000"/>
                <w:sz w:val="24"/>
                <w:szCs w:val="24"/>
                <w:lang w:eastAsia="fr-CA"/>
              </w:rPr>
              <w:t>Une école spécialisée visée au paragraphe 3° du deuxième alinéa n'est pas une école visée par l'article 240.</w:t>
            </w:r>
          </w:p>
        </w:tc>
      </w:tr>
      <w:tr w:rsidR="00693F6C" w:rsidRPr="000B6700" w14:paraId="31C15B49" w14:textId="77777777" w:rsidTr="001309D2">
        <w:trPr>
          <w:jc w:val="center"/>
        </w:trPr>
        <w:tc>
          <w:tcPr>
            <w:tcW w:w="2093" w:type="dxa"/>
          </w:tcPr>
          <w:p w14:paraId="2EF83BC7" w14:textId="77777777" w:rsidR="00693F6C" w:rsidRPr="00D80C57" w:rsidRDefault="00693F6C" w:rsidP="00D80C57">
            <w:pPr>
              <w:spacing w:before="120" w:after="120"/>
              <w:ind w:left="72" w:right="72"/>
              <w:rPr>
                <w:rFonts w:ascii="Arial" w:hAnsi="Arial" w:cs="Arial"/>
                <w:b/>
                <w:sz w:val="24"/>
                <w:szCs w:val="24"/>
              </w:rPr>
            </w:pPr>
            <w:r w:rsidRPr="00D80C57">
              <w:rPr>
                <w:rFonts w:ascii="Arial" w:hAnsi="Arial" w:cs="Arial"/>
                <w:b/>
                <w:sz w:val="24"/>
                <w:szCs w:val="24"/>
              </w:rPr>
              <w:lastRenderedPageBreak/>
              <w:t>Cadre d’analyse et conditions essentielles</w:t>
            </w:r>
          </w:p>
        </w:tc>
        <w:tc>
          <w:tcPr>
            <w:tcW w:w="7453" w:type="dxa"/>
          </w:tcPr>
          <w:p w14:paraId="041A0D0D" w14:textId="7CF39409" w:rsidR="00693F6C" w:rsidRPr="00CF2D53" w:rsidRDefault="00693F6C" w:rsidP="00586B07">
            <w:pPr>
              <w:autoSpaceDE w:val="0"/>
              <w:autoSpaceDN w:val="0"/>
              <w:adjustRightInd w:val="0"/>
              <w:spacing w:before="120" w:after="120"/>
              <w:ind w:left="72" w:right="72"/>
              <w:jc w:val="both"/>
              <w:rPr>
                <w:rFonts w:ascii="Arial" w:hAnsi="Arial" w:cs="Arial"/>
                <w:sz w:val="24"/>
                <w:szCs w:val="24"/>
              </w:rPr>
            </w:pPr>
            <w:r w:rsidRPr="00CF2D53">
              <w:rPr>
                <w:rFonts w:ascii="Arial" w:hAnsi="Arial" w:cs="Arial"/>
                <w:sz w:val="24"/>
                <w:szCs w:val="24"/>
              </w:rPr>
              <w:t>Au Québec, l’intégration d’un enfant handicapé en classe ordinaire et l'adaptation des services est</w:t>
            </w:r>
            <w:r w:rsidRPr="00CF2D53">
              <w:rPr>
                <w:rFonts w:ascii="Arial" w:hAnsi="Arial" w:cs="Arial"/>
                <w:i/>
                <w:sz w:val="24"/>
                <w:szCs w:val="24"/>
              </w:rPr>
              <w:t xml:space="preserve"> </w:t>
            </w:r>
            <w:r w:rsidRPr="00CF2D53">
              <w:rPr>
                <w:rFonts w:ascii="Arial" w:hAnsi="Arial" w:cs="Arial"/>
                <w:sz w:val="24"/>
                <w:szCs w:val="24"/>
              </w:rPr>
              <w:t>une norme générale q</w:t>
            </w:r>
            <w:r>
              <w:rPr>
                <w:rFonts w:ascii="Arial" w:hAnsi="Arial" w:cs="Arial"/>
                <w:sz w:val="24"/>
                <w:szCs w:val="24"/>
              </w:rPr>
              <w:t xml:space="preserve">ui doit être priorisée par les </w:t>
            </w:r>
            <w:r w:rsidR="00B33245">
              <w:rPr>
                <w:rFonts w:ascii="Arial" w:hAnsi="Arial" w:cs="Arial"/>
                <w:sz w:val="24"/>
                <w:szCs w:val="24"/>
              </w:rPr>
              <w:t>centres de services scolaires</w:t>
            </w:r>
            <w:r w:rsidRPr="00CF2D53">
              <w:rPr>
                <w:rFonts w:ascii="Arial" w:hAnsi="Arial" w:cs="Arial"/>
                <w:sz w:val="24"/>
                <w:szCs w:val="24"/>
              </w:rPr>
              <w:t xml:space="preserve"> </w:t>
            </w:r>
            <w:r w:rsidRPr="00CF2D53">
              <w:rPr>
                <w:rFonts w:ascii="Arial" w:eastAsia="Times New Roman" w:hAnsi="Arial" w:cs="Arial"/>
                <w:sz w:val="24"/>
                <w:szCs w:val="24"/>
                <w:lang w:eastAsia="fr-CA"/>
              </w:rPr>
              <w:t>en raison des avantages que cela procure habituellement.</w:t>
            </w:r>
          </w:p>
          <w:p w14:paraId="76735155" w14:textId="67924851" w:rsidR="00693F6C" w:rsidRPr="00CF2D53" w:rsidRDefault="00693F6C" w:rsidP="00586B07">
            <w:pPr>
              <w:autoSpaceDE w:val="0"/>
              <w:autoSpaceDN w:val="0"/>
              <w:adjustRightInd w:val="0"/>
              <w:spacing w:before="120" w:after="120"/>
              <w:ind w:left="72" w:right="72"/>
              <w:jc w:val="both"/>
              <w:rPr>
                <w:rFonts w:ascii="Arial" w:hAnsi="Arial" w:cs="Arial"/>
                <w:sz w:val="24"/>
                <w:szCs w:val="24"/>
              </w:rPr>
            </w:pPr>
            <w:r w:rsidRPr="00CF2D53">
              <w:rPr>
                <w:rFonts w:ascii="Arial" w:hAnsi="Arial" w:cs="Arial"/>
                <w:sz w:val="24"/>
                <w:szCs w:val="24"/>
              </w:rPr>
              <w:t>De cette norme générale d’intégration découle un processus obligatoire en deux étapes pour les c</w:t>
            </w:r>
            <w:r w:rsidR="007666AD">
              <w:rPr>
                <w:rFonts w:ascii="Arial" w:hAnsi="Arial" w:cs="Arial"/>
                <w:sz w:val="24"/>
                <w:szCs w:val="24"/>
              </w:rPr>
              <w:t>entres de services scolaires</w:t>
            </w:r>
            <w:r w:rsidRPr="00CF2D53">
              <w:rPr>
                <w:rFonts w:ascii="Arial" w:hAnsi="Arial" w:cs="Arial"/>
                <w:sz w:val="24"/>
                <w:szCs w:val="24"/>
              </w:rPr>
              <w:t xml:space="preserve"> </w:t>
            </w:r>
            <w:r w:rsidRPr="00CF2D53">
              <w:rPr>
                <w:rFonts w:ascii="Arial" w:hAnsi="Arial" w:cs="Arial"/>
                <w:sz w:val="24"/>
                <w:szCs w:val="24"/>
              </w:rPr>
              <w:lastRenderedPageBreak/>
              <w:t>qui a été élaboré par la Cour d’appel en 2006</w:t>
            </w:r>
            <w:r>
              <w:rPr>
                <w:rFonts w:ascii="Arial" w:hAnsi="Arial" w:cs="Arial"/>
                <w:sz w:val="24"/>
                <w:szCs w:val="24"/>
              </w:rPr>
              <w:t xml:space="preserve"> dans l’arrêt </w:t>
            </w:r>
            <w:r w:rsidRPr="00CF2D53">
              <w:rPr>
                <w:rFonts w:ascii="Arial" w:hAnsi="Arial" w:cs="Arial"/>
                <w:i/>
                <w:sz w:val="24"/>
                <w:szCs w:val="24"/>
              </w:rPr>
              <w:t>Potvin</w:t>
            </w:r>
            <w:r>
              <w:rPr>
                <w:rFonts w:ascii="Arial" w:hAnsi="Arial" w:cs="Arial"/>
                <w:i/>
                <w:sz w:val="24"/>
                <w:szCs w:val="24"/>
              </w:rPr>
              <w:t xml:space="preserve"> 1</w:t>
            </w:r>
            <w:r w:rsidRPr="00D80C57">
              <w:rPr>
                <w:rStyle w:val="Appelnotedebasdep"/>
                <w:rFonts w:ascii="Arial" w:hAnsi="Arial" w:cs="Arial"/>
                <w:sz w:val="20"/>
                <w:szCs w:val="24"/>
              </w:rPr>
              <w:footnoteReference w:id="1"/>
            </w:r>
            <w:r w:rsidRPr="00586B07">
              <w:rPr>
                <w:rFonts w:ascii="Arial" w:hAnsi="Arial" w:cs="Arial"/>
                <w:sz w:val="24"/>
                <w:szCs w:val="24"/>
              </w:rPr>
              <w:t>.</w:t>
            </w:r>
          </w:p>
          <w:p w14:paraId="41B3D9F5" w14:textId="51E55452" w:rsidR="00693F6C" w:rsidRPr="00CF2D53" w:rsidRDefault="00693F6C" w:rsidP="00586B07">
            <w:pPr>
              <w:autoSpaceDE w:val="0"/>
              <w:autoSpaceDN w:val="0"/>
              <w:adjustRightInd w:val="0"/>
              <w:spacing w:before="120" w:after="120"/>
              <w:ind w:left="72" w:right="72"/>
              <w:jc w:val="both"/>
              <w:rPr>
                <w:rFonts w:ascii="Arial" w:hAnsi="Arial" w:cs="Arial"/>
                <w:sz w:val="24"/>
                <w:szCs w:val="24"/>
              </w:rPr>
            </w:pPr>
            <w:r w:rsidRPr="00CF2D53">
              <w:rPr>
                <w:rFonts w:ascii="Arial" w:hAnsi="Arial" w:cs="Arial"/>
                <w:sz w:val="24"/>
                <w:szCs w:val="24"/>
              </w:rPr>
              <w:t>Ainsi, avant de déterminer le classement d'un enfant vivant avec un handicap, un</w:t>
            </w:r>
            <w:r w:rsidR="007666AD">
              <w:rPr>
                <w:rFonts w:ascii="Arial" w:hAnsi="Arial" w:cs="Arial"/>
                <w:sz w:val="24"/>
                <w:szCs w:val="24"/>
              </w:rPr>
              <w:t xml:space="preserve"> centre de services</w:t>
            </w:r>
            <w:r w:rsidRPr="00CF2D53">
              <w:rPr>
                <w:rFonts w:ascii="Arial" w:hAnsi="Arial" w:cs="Arial"/>
                <w:sz w:val="24"/>
                <w:szCs w:val="24"/>
              </w:rPr>
              <w:t xml:space="preserve"> scolaire doit :</w:t>
            </w:r>
          </w:p>
          <w:p w14:paraId="2BBD52F6" w14:textId="77777777" w:rsidR="00693F6C" w:rsidRDefault="00693F6C" w:rsidP="00586B07">
            <w:pPr>
              <w:pStyle w:val="Paragraphedeliste"/>
              <w:numPr>
                <w:ilvl w:val="0"/>
                <w:numId w:val="5"/>
              </w:numPr>
              <w:autoSpaceDE w:val="0"/>
              <w:autoSpaceDN w:val="0"/>
              <w:adjustRightInd w:val="0"/>
              <w:spacing w:before="120" w:after="120"/>
              <w:ind w:left="432" w:right="72"/>
              <w:contextualSpacing w:val="0"/>
              <w:jc w:val="both"/>
              <w:rPr>
                <w:rFonts w:ascii="Arial" w:hAnsi="Arial" w:cs="Arial"/>
                <w:sz w:val="24"/>
                <w:szCs w:val="24"/>
              </w:rPr>
            </w:pPr>
            <w:r w:rsidRPr="00D80C57">
              <w:rPr>
                <w:rFonts w:ascii="Arial" w:hAnsi="Arial" w:cs="Arial"/>
                <w:sz w:val="24"/>
                <w:szCs w:val="24"/>
              </w:rPr>
              <w:t>procéder à l’évaluation personnalisée de ses besoins et de ses capacités, tant sur le plan scolaire que social</w:t>
            </w:r>
            <w:r>
              <w:rPr>
                <w:rFonts w:ascii="Arial" w:hAnsi="Arial" w:cs="Arial"/>
                <w:sz w:val="24"/>
                <w:szCs w:val="24"/>
              </w:rPr>
              <w:t>;</w:t>
            </w:r>
          </w:p>
          <w:p w14:paraId="192481BC" w14:textId="77777777" w:rsidR="00693F6C" w:rsidRPr="00D80C57" w:rsidRDefault="00693F6C" w:rsidP="00586B07">
            <w:pPr>
              <w:pStyle w:val="Paragraphedeliste"/>
              <w:numPr>
                <w:ilvl w:val="0"/>
                <w:numId w:val="5"/>
              </w:numPr>
              <w:autoSpaceDE w:val="0"/>
              <w:autoSpaceDN w:val="0"/>
              <w:adjustRightInd w:val="0"/>
              <w:spacing w:before="120" w:after="120"/>
              <w:ind w:left="432" w:right="72"/>
              <w:contextualSpacing w:val="0"/>
              <w:jc w:val="both"/>
              <w:rPr>
                <w:rFonts w:ascii="Arial" w:hAnsi="Arial" w:cs="Arial"/>
                <w:sz w:val="24"/>
                <w:szCs w:val="24"/>
              </w:rPr>
            </w:pPr>
            <w:r w:rsidRPr="00D80C57">
              <w:rPr>
                <w:rFonts w:ascii="Arial" w:hAnsi="Arial" w:cs="Arial"/>
                <w:sz w:val="24"/>
                <w:szCs w:val="24"/>
              </w:rPr>
              <w:t>envisager prioritairement en classe ordinaire toutes les mesures d'adaptation raisonnables.</w:t>
            </w:r>
          </w:p>
          <w:p w14:paraId="2891BF06" w14:textId="5E3615BD" w:rsidR="00693F6C" w:rsidRPr="00CF2D53" w:rsidRDefault="00693F6C" w:rsidP="00586B07">
            <w:pPr>
              <w:autoSpaceDE w:val="0"/>
              <w:autoSpaceDN w:val="0"/>
              <w:adjustRightInd w:val="0"/>
              <w:spacing w:before="120" w:after="120"/>
              <w:ind w:left="72" w:right="72"/>
              <w:jc w:val="both"/>
              <w:rPr>
                <w:rFonts w:ascii="Arial" w:hAnsi="Arial" w:cs="Arial"/>
                <w:sz w:val="24"/>
                <w:szCs w:val="24"/>
              </w:rPr>
            </w:pPr>
            <w:r w:rsidRPr="00CF2D53">
              <w:rPr>
                <w:rFonts w:ascii="Arial" w:hAnsi="Arial" w:cs="Arial"/>
                <w:iCs/>
                <w:sz w:val="24"/>
                <w:szCs w:val="24"/>
              </w:rPr>
              <w:t xml:space="preserve">L'omission de respecter cette étape essentielle </w:t>
            </w:r>
            <w:r w:rsidRPr="00CF2D53">
              <w:rPr>
                <w:rFonts w:ascii="Arial" w:hAnsi="Arial" w:cs="Arial"/>
                <w:sz w:val="24"/>
                <w:szCs w:val="24"/>
              </w:rPr>
              <w:t xml:space="preserve">dans </w:t>
            </w:r>
            <w:r w:rsidRPr="00CF2D53">
              <w:rPr>
                <w:rFonts w:ascii="Arial" w:hAnsi="Arial" w:cs="Arial"/>
                <w:iCs/>
                <w:sz w:val="24"/>
                <w:szCs w:val="24"/>
              </w:rPr>
              <w:t>le processus décisionnel menant au classement</w:t>
            </w:r>
            <w:r>
              <w:rPr>
                <w:rFonts w:ascii="Arial" w:hAnsi="Arial" w:cs="Arial"/>
                <w:iCs/>
                <w:sz w:val="24"/>
                <w:szCs w:val="24"/>
              </w:rPr>
              <w:t>,</w:t>
            </w:r>
            <w:r w:rsidRPr="00CF2D53">
              <w:rPr>
                <w:rFonts w:ascii="Arial" w:hAnsi="Arial" w:cs="Arial"/>
                <w:iCs/>
                <w:sz w:val="24"/>
                <w:szCs w:val="24"/>
              </w:rPr>
              <w:t xml:space="preserve"> invalide la décision d</w:t>
            </w:r>
            <w:r w:rsidR="002A74DC">
              <w:rPr>
                <w:rFonts w:ascii="Arial" w:hAnsi="Arial" w:cs="Arial"/>
                <w:iCs/>
                <w:sz w:val="24"/>
                <w:szCs w:val="24"/>
              </w:rPr>
              <w:t xml:space="preserve">u centre de services </w:t>
            </w:r>
            <w:r w:rsidRPr="00CF2D53">
              <w:rPr>
                <w:rFonts w:ascii="Arial" w:hAnsi="Arial" w:cs="Arial"/>
                <w:iCs/>
                <w:sz w:val="24"/>
                <w:szCs w:val="24"/>
              </w:rPr>
              <w:t xml:space="preserve">scolaire </w:t>
            </w:r>
            <w:r w:rsidRPr="00CF2D53">
              <w:rPr>
                <w:rFonts w:ascii="Arial" w:hAnsi="Arial" w:cs="Arial"/>
                <w:sz w:val="24"/>
                <w:szCs w:val="24"/>
              </w:rPr>
              <w:t>qui devient discriminatoire.</w:t>
            </w:r>
          </w:p>
          <w:p w14:paraId="7A5A05B8" w14:textId="77777777" w:rsidR="00693F6C" w:rsidRPr="00CF2D53" w:rsidRDefault="00693F6C" w:rsidP="00586B07">
            <w:pPr>
              <w:autoSpaceDE w:val="0"/>
              <w:autoSpaceDN w:val="0"/>
              <w:adjustRightInd w:val="0"/>
              <w:spacing w:before="120" w:after="120"/>
              <w:ind w:left="72" w:right="72"/>
              <w:jc w:val="both"/>
              <w:rPr>
                <w:rFonts w:ascii="Arial" w:hAnsi="Arial" w:cs="Arial"/>
                <w:sz w:val="24"/>
                <w:szCs w:val="24"/>
              </w:rPr>
            </w:pPr>
            <w:r w:rsidRPr="00CF2D53">
              <w:rPr>
                <w:rFonts w:ascii="Arial" w:hAnsi="Arial" w:cs="Arial"/>
                <w:sz w:val="24"/>
                <w:szCs w:val="24"/>
              </w:rPr>
              <w:t xml:space="preserve">Par conséquent, le fardeau de preuve </w:t>
            </w:r>
            <w:r w:rsidRPr="00CF2D53">
              <w:rPr>
                <w:rFonts w:ascii="Arial" w:hAnsi="Arial" w:cs="Arial"/>
                <w:i/>
                <w:iCs/>
                <w:sz w:val="24"/>
                <w:szCs w:val="24"/>
              </w:rPr>
              <w:t xml:space="preserve">prima facie </w:t>
            </w:r>
            <w:r>
              <w:rPr>
                <w:rFonts w:ascii="Arial" w:hAnsi="Arial" w:cs="Arial"/>
                <w:sz w:val="24"/>
                <w:szCs w:val="24"/>
              </w:rPr>
              <w:t>de la C</w:t>
            </w:r>
            <w:r w:rsidRPr="00CF2D53">
              <w:rPr>
                <w:rFonts w:ascii="Arial" w:hAnsi="Arial" w:cs="Arial"/>
                <w:sz w:val="24"/>
                <w:szCs w:val="24"/>
              </w:rPr>
              <w:t>ommission sera rempli si elle démontre qu’une des étapes du processus est manquante.</w:t>
            </w:r>
          </w:p>
          <w:p w14:paraId="6A9A5B0D" w14:textId="6F3B8AF2" w:rsidR="00693F6C" w:rsidRDefault="00693F6C" w:rsidP="00586B07">
            <w:pPr>
              <w:autoSpaceDE w:val="0"/>
              <w:autoSpaceDN w:val="0"/>
              <w:adjustRightInd w:val="0"/>
              <w:spacing w:before="120" w:after="120"/>
              <w:ind w:left="72" w:right="72"/>
              <w:jc w:val="both"/>
              <w:rPr>
                <w:rFonts w:ascii="Arial" w:hAnsi="Arial" w:cs="Arial"/>
                <w:sz w:val="24"/>
                <w:szCs w:val="24"/>
              </w:rPr>
            </w:pPr>
            <w:r w:rsidRPr="00CF2D53">
              <w:rPr>
                <w:rFonts w:ascii="Arial" w:hAnsi="Arial" w:cs="Arial"/>
                <w:sz w:val="24"/>
                <w:szCs w:val="24"/>
              </w:rPr>
              <w:t>Un</w:t>
            </w:r>
            <w:r w:rsidR="007666AD">
              <w:rPr>
                <w:rFonts w:ascii="Arial" w:hAnsi="Arial" w:cs="Arial"/>
                <w:sz w:val="24"/>
                <w:szCs w:val="24"/>
              </w:rPr>
              <w:t xml:space="preserve"> centre de services scolaire</w:t>
            </w:r>
            <w:r w:rsidRPr="00CF2D53">
              <w:rPr>
                <w:rFonts w:ascii="Arial" w:hAnsi="Arial" w:cs="Arial"/>
                <w:sz w:val="24"/>
                <w:szCs w:val="24"/>
              </w:rPr>
              <w:t xml:space="preserve"> peut décider d'orienter un enfant en classe spéciale si, après avoir évalué les capacités et les besoins de l'enfant et après avoir envisagé toutes les mesures d'adaptation raisonnables dont l'enfant aurait besoin en classe régulière, elle démontre que</w:t>
            </w:r>
            <w:r>
              <w:rPr>
                <w:rFonts w:ascii="Arial" w:hAnsi="Arial" w:cs="Arial"/>
                <w:sz w:val="24"/>
                <w:szCs w:val="24"/>
              </w:rPr>
              <w:t> </w:t>
            </w:r>
            <w:r w:rsidRPr="00CF2D53">
              <w:rPr>
                <w:rFonts w:ascii="Arial" w:hAnsi="Arial" w:cs="Arial"/>
                <w:sz w:val="24"/>
                <w:szCs w:val="24"/>
              </w:rPr>
              <w:t>:</w:t>
            </w:r>
          </w:p>
          <w:p w14:paraId="3EA401A0" w14:textId="77777777" w:rsidR="00693F6C" w:rsidRDefault="00693F6C" w:rsidP="00586B07">
            <w:pPr>
              <w:pStyle w:val="Paragraphedeliste"/>
              <w:numPr>
                <w:ilvl w:val="0"/>
                <w:numId w:val="6"/>
              </w:numPr>
              <w:autoSpaceDE w:val="0"/>
              <w:autoSpaceDN w:val="0"/>
              <w:adjustRightInd w:val="0"/>
              <w:spacing w:before="120" w:after="120"/>
              <w:ind w:left="432" w:right="72"/>
              <w:contextualSpacing w:val="0"/>
              <w:jc w:val="both"/>
              <w:rPr>
                <w:rFonts w:ascii="Arial" w:hAnsi="Arial" w:cs="Arial"/>
                <w:sz w:val="24"/>
                <w:szCs w:val="24"/>
              </w:rPr>
            </w:pPr>
            <w:r>
              <w:rPr>
                <w:rFonts w:ascii="Arial" w:hAnsi="Arial" w:cs="Arial"/>
                <w:sz w:val="24"/>
                <w:szCs w:val="24"/>
              </w:rPr>
              <w:t>I</w:t>
            </w:r>
            <w:r w:rsidRPr="00D80C57">
              <w:rPr>
                <w:rFonts w:ascii="Arial" w:hAnsi="Arial" w:cs="Arial"/>
                <w:sz w:val="24"/>
                <w:szCs w:val="24"/>
              </w:rPr>
              <w:t>l n'est pas dans l'intérêt de fréquenter la classe ordinaire malgré les adaptations envisagées</w:t>
            </w:r>
            <w:r>
              <w:rPr>
                <w:rFonts w:ascii="Arial" w:hAnsi="Arial" w:cs="Arial"/>
                <w:sz w:val="24"/>
                <w:szCs w:val="24"/>
              </w:rPr>
              <w:t>.</w:t>
            </w:r>
          </w:p>
          <w:p w14:paraId="34DF334A" w14:textId="77777777" w:rsidR="00693F6C" w:rsidRPr="00D80C57" w:rsidRDefault="00693F6C" w:rsidP="00586B07">
            <w:pPr>
              <w:pStyle w:val="Paragraphedeliste"/>
              <w:autoSpaceDE w:val="0"/>
              <w:autoSpaceDN w:val="0"/>
              <w:adjustRightInd w:val="0"/>
              <w:spacing w:before="120" w:after="120"/>
              <w:ind w:left="432" w:right="72"/>
              <w:contextualSpacing w:val="0"/>
              <w:jc w:val="both"/>
              <w:rPr>
                <w:rFonts w:ascii="Arial" w:hAnsi="Arial" w:cs="Arial"/>
                <w:sz w:val="24"/>
                <w:szCs w:val="24"/>
              </w:rPr>
            </w:pPr>
            <w:r w:rsidRPr="00D80C57">
              <w:rPr>
                <w:rFonts w:ascii="Arial" w:hAnsi="Arial" w:cs="Arial"/>
                <w:sz w:val="24"/>
                <w:szCs w:val="24"/>
              </w:rPr>
              <w:t>ou</w:t>
            </w:r>
          </w:p>
          <w:p w14:paraId="71BF6164" w14:textId="77777777" w:rsidR="00693F6C" w:rsidRPr="00D80C57" w:rsidRDefault="00693F6C" w:rsidP="00586B07">
            <w:pPr>
              <w:pStyle w:val="Paragraphedeliste"/>
              <w:numPr>
                <w:ilvl w:val="0"/>
                <w:numId w:val="6"/>
              </w:numPr>
              <w:autoSpaceDE w:val="0"/>
              <w:autoSpaceDN w:val="0"/>
              <w:adjustRightInd w:val="0"/>
              <w:spacing w:before="120" w:after="120"/>
              <w:ind w:left="432" w:right="72"/>
              <w:contextualSpacing w:val="0"/>
              <w:jc w:val="both"/>
              <w:rPr>
                <w:rFonts w:ascii="Arial" w:hAnsi="Arial" w:cs="Arial"/>
                <w:sz w:val="24"/>
                <w:szCs w:val="24"/>
              </w:rPr>
            </w:pPr>
            <w:r>
              <w:rPr>
                <w:rFonts w:ascii="Arial" w:hAnsi="Arial" w:cs="Arial"/>
                <w:sz w:val="24"/>
                <w:szCs w:val="24"/>
              </w:rPr>
              <w:t>L</w:t>
            </w:r>
            <w:r w:rsidRPr="00D80C57">
              <w:rPr>
                <w:rFonts w:ascii="Arial" w:hAnsi="Arial" w:cs="Arial"/>
                <w:sz w:val="24"/>
                <w:szCs w:val="24"/>
              </w:rPr>
              <w:t>'intégration en classe ordinaire représente une contrainte excessive.</w:t>
            </w:r>
          </w:p>
          <w:p w14:paraId="56082C6B" w14:textId="77777777" w:rsidR="00335473" w:rsidRDefault="00811636" w:rsidP="00335473">
            <w:pPr>
              <w:autoSpaceDE w:val="0"/>
              <w:autoSpaceDN w:val="0"/>
              <w:adjustRightInd w:val="0"/>
              <w:spacing w:before="120" w:after="120"/>
              <w:ind w:left="72" w:right="72"/>
              <w:jc w:val="both"/>
              <w:rPr>
                <w:rFonts w:ascii="Arial" w:hAnsi="Arial" w:cs="Arial"/>
                <w:sz w:val="24"/>
                <w:szCs w:val="24"/>
              </w:rPr>
            </w:pPr>
            <w:r w:rsidRPr="00CF2D53">
              <w:rPr>
                <w:rFonts w:ascii="Arial" w:hAnsi="Arial" w:cs="Arial"/>
                <w:sz w:val="24"/>
                <w:szCs w:val="24"/>
              </w:rPr>
              <w:t xml:space="preserve">Dans un second jugement rendu entre les mêmes parties en 2012 (l’affaire </w:t>
            </w:r>
            <w:r w:rsidRPr="00CF2D53">
              <w:rPr>
                <w:rFonts w:ascii="Arial" w:hAnsi="Arial" w:cs="Arial"/>
                <w:i/>
                <w:sz w:val="24"/>
                <w:szCs w:val="24"/>
              </w:rPr>
              <w:t>Potvin 2</w:t>
            </w:r>
            <w:r w:rsidRPr="00586B07">
              <w:rPr>
                <w:rStyle w:val="Appelnotedebasdep"/>
                <w:rFonts w:ascii="Arial" w:hAnsi="Arial" w:cs="Arial"/>
                <w:sz w:val="20"/>
                <w:szCs w:val="24"/>
              </w:rPr>
              <w:footnoteReference w:id="2"/>
            </w:r>
            <w:r w:rsidRPr="00CF2D53">
              <w:rPr>
                <w:rFonts w:ascii="Arial" w:hAnsi="Arial" w:cs="Arial"/>
                <w:sz w:val="24"/>
                <w:szCs w:val="24"/>
              </w:rPr>
              <w:t>), la Cour d’appel a remis en question l’aménagement du fardeau de preuve</w:t>
            </w:r>
            <w:r w:rsidR="003C624A">
              <w:rPr>
                <w:rFonts w:ascii="Arial" w:hAnsi="Arial" w:cs="Arial"/>
                <w:sz w:val="24"/>
                <w:szCs w:val="24"/>
              </w:rPr>
              <w:t>,</w:t>
            </w:r>
            <w:r w:rsidRPr="00CF2D53">
              <w:rPr>
                <w:rFonts w:ascii="Arial" w:hAnsi="Arial" w:cs="Arial"/>
                <w:sz w:val="24"/>
                <w:szCs w:val="24"/>
              </w:rPr>
              <w:t xml:space="preserve"> sans toutefois proposer une nouvel</w:t>
            </w:r>
            <w:r>
              <w:rPr>
                <w:rFonts w:ascii="Arial" w:hAnsi="Arial" w:cs="Arial"/>
                <w:sz w:val="24"/>
                <w:szCs w:val="24"/>
              </w:rPr>
              <w:t xml:space="preserve">le analyse de l’état du droit. </w:t>
            </w:r>
          </w:p>
          <w:p w14:paraId="2718BDCA" w14:textId="77777777" w:rsidR="00F335B0" w:rsidRDefault="003C624A" w:rsidP="00335473">
            <w:pPr>
              <w:autoSpaceDE w:val="0"/>
              <w:autoSpaceDN w:val="0"/>
              <w:adjustRightInd w:val="0"/>
              <w:spacing w:before="120" w:after="120"/>
              <w:ind w:left="72" w:right="72"/>
              <w:jc w:val="both"/>
              <w:rPr>
                <w:rFonts w:ascii="Arial" w:hAnsi="Arial" w:cs="Arial"/>
                <w:sz w:val="24"/>
                <w:szCs w:val="24"/>
              </w:rPr>
            </w:pPr>
            <w:r w:rsidRPr="00EE029D">
              <w:rPr>
                <w:rFonts w:ascii="Arial" w:hAnsi="Arial" w:cs="Arial"/>
                <w:sz w:val="24"/>
                <w:szCs w:val="24"/>
              </w:rPr>
              <w:t>Ainsi, s</w:t>
            </w:r>
            <w:r w:rsidR="00811636" w:rsidRPr="00EE029D">
              <w:rPr>
                <w:rFonts w:ascii="Arial" w:hAnsi="Arial" w:cs="Arial"/>
                <w:sz w:val="24"/>
                <w:szCs w:val="24"/>
              </w:rPr>
              <w:t>elon la Cour d’appel</w:t>
            </w:r>
            <w:r w:rsidR="000110FD" w:rsidRPr="00EE029D">
              <w:rPr>
                <w:rFonts w:ascii="Arial" w:hAnsi="Arial" w:cs="Arial"/>
                <w:sz w:val="24"/>
                <w:szCs w:val="24"/>
              </w:rPr>
              <w:t xml:space="preserve">, il appartient plutôt </w:t>
            </w:r>
            <w:r w:rsidR="00811636" w:rsidRPr="00EE029D">
              <w:rPr>
                <w:rFonts w:ascii="Arial" w:hAnsi="Arial" w:cs="Arial"/>
                <w:sz w:val="24"/>
                <w:szCs w:val="24"/>
              </w:rPr>
              <w:t xml:space="preserve">à la Commission </w:t>
            </w:r>
            <w:r w:rsidR="000110FD" w:rsidRPr="00EE029D">
              <w:rPr>
                <w:rFonts w:ascii="Arial" w:hAnsi="Arial" w:cs="Arial"/>
                <w:sz w:val="24"/>
                <w:szCs w:val="24"/>
              </w:rPr>
              <w:t>de démontrer que la décision de classement n’est pas dans l’intérêt de l’enfant.</w:t>
            </w:r>
            <w:r w:rsidRPr="00EE029D">
              <w:rPr>
                <w:rFonts w:ascii="Arial" w:hAnsi="Arial" w:cs="Arial"/>
                <w:sz w:val="24"/>
                <w:szCs w:val="24"/>
              </w:rPr>
              <w:t xml:space="preserve"> Dans un arrêt</w:t>
            </w:r>
            <w:r w:rsidR="00FB5699" w:rsidRPr="00EE029D">
              <w:rPr>
                <w:rFonts w:ascii="Arial" w:hAnsi="Arial" w:cs="Arial"/>
                <w:sz w:val="24"/>
                <w:szCs w:val="24"/>
              </w:rPr>
              <w:t xml:space="preserve"> récent</w:t>
            </w:r>
            <w:r w:rsidR="00EE029D" w:rsidRPr="00EE029D">
              <w:rPr>
                <w:rFonts w:ascii="Arial" w:hAnsi="Arial" w:cs="Arial"/>
                <w:sz w:val="24"/>
                <w:szCs w:val="24"/>
              </w:rPr>
              <w:t xml:space="preserve">, l’affaire </w:t>
            </w:r>
            <w:r w:rsidR="00EE029D" w:rsidRPr="00B60B63">
              <w:rPr>
                <w:rFonts w:ascii="Arial" w:hAnsi="Arial" w:cs="Arial"/>
                <w:i/>
                <w:sz w:val="24"/>
                <w:szCs w:val="24"/>
              </w:rPr>
              <w:t>Sicuro</w:t>
            </w:r>
            <w:r w:rsidR="00875ADC" w:rsidRPr="00EE029D">
              <w:rPr>
                <w:rStyle w:val="Appelnotedebasdep"/>
                <w:rFonts w:ascii="Arial" w:hAnsi="Arial" w:cs="Arial"/>
                <w:sz w:val="24"/>
                <w:szCs w:val="24"/>
              </w:rPr>
              <w:footnoteReference w:id="3"/>
            </w:r>
            <w:r w:rsidRPr="00EE029D">
              <w:rPr>
                <w:rFonts w:ascii="Arial" w:hAnsi="Arial" w:cs="Arial"/>
                <w:sz w:val="24"/>
                <w:szCs w:val="24"/>
              </w:rPr>
              <w:t xml:space="preserve">, la Cour d’appel </w:t>
            </w:r>
            <w:r w:rsidR="00484AF9">
              <w:rPr>
                <w:rFonts w:ascii="Arial" w:hAnsi="Arial" w:cs="Arial"/>
                <w:sz w:val="24"/>
                <w:szCs w:val="24"/>
              </w:rPr>
              <w:t>a</w:t>
            </w:r>
            <w:r w:rsidR="000110FD" w:rsidRPr="00EE029D">
              <w:rPr>
                <w:rFonts w:ascii="Arial" w:hAnsi="Arial" w:cs="Arial"/>
                <w:sz w:val="24"/>
                <w:szCs w:val="24"/>
              </w:rPr>
              <w:t xml:space="preserve"> réaffirm</w:t>
            </w:r>
            <w:r w:rsidR="00484AF9">
              <w:rPr>
                <w:rFonts w:ascii="Arial" w:hAnsi="Arial" w:cs="Arial"/>
                <w:sz w:val="24"/>
                <w:szCs w:val="24"/>
              </w:rPr>
              <w:t>é</w:t>
            </w:r>
            <w:r w:rsidR="000110FD" w:rsidRPr="00EE029D">
              <w:rPr>
                <w:rFonts w:ascii="Arial" w:hAnsi="Arial" w:cs="Arial"/>
                <w:sz w:val="24"/>
                <w:szCs w:val="24"/>
              </w:rPr>
              <w:t xml:space="preserve"> cette approche.</w:t>
            </w:r>
            <w:r w:rsidR="00875ADC" w:rsidRPr="00EE029D">
              <w:rPr>
                <w:rFonts w:ascii="Arial" w:hAnsi="Arial" w:cs="Arial"/>
                <w:sz w:val="24"/>
                <w:szCs w:val="24"/>
              </w:rPr>
              <w:t xml:space="preserve"> </w:t>
            </w:r>
          </w:p>
          <w:p w14:paraId="593DC527" w14:textId="57E59D43" w:rsidR="00693F6C" w:rsidRPr="00CF2D53" w:rsidRDefault="00693F6C" w:rsidP="005E1C85">
            <w:pPr>
              <w:autoSpaceDE w:val="0"/>
              <w:autoSpaceDN w:val="0"/>
              <w:adjustRightInd w:val="0"/>
              <w:spacing w:before="120" w:after="120"/>
              <w:ind w:left="72" w:right="72"/>
              <w:jc w:val="both"/>
              <w:rPr>
                <w:rFonts w:ascii="Arial" w:hAnsi="Arial" w:cs="Arial"/>
                <w:sz w:val="24"/>
                <w:szCs w:val="24"/>
              </w:rPr>
            </w:pPr>
            <w:r w:rsidRPr="00CF2D53">
              <w:rPr>
                <w:rFonts w:ascii="Arial" w:hAnsi="Arial" w:cs="Arial"/>
                <w:sz w:val="24"/>
                <w:szCs w:val="24"/>
              </w:rPr>
              <w:lastRenderedPageBreak/>
              <w:t xml:space="preserve">La position de la Commission est à l’effet que l’arrêt </w:t>
            </w:r>
            <w:r w:rsidRPr="00CF2D53">
              <w:rPr>
                <w:rFonts w:ascii="Arial" w:hAnsi="Arial" w:cs="Arial"/>
                <w:i/>
                <w:sz w:val="24"/>
                <w:szCs w:val="24"/>
              </w:rPr>
              <w:t>Potvin</w:t>
            </w:r>
            <w:r>
              <w:rPr>
                <w:rFonts w:ascii="Arial" w:hAnsi="Arial" w:cs="Arial"/>
                <w:i/>
                <w:sz w:val="24"/>
                <w:szCs w:val="24"/>
              </w:rPr>
              <w:t> </w:t>
            </w:r>
            <w:r w:rsidRPr="00CF2D53">
              <w:rPr>
                <w:rFonts w:ascii="Arial" w:hAnsi="Arial" w:cs="Arial"/>
                <w:i/>
                <w:sz w:val="24"/>
                <w:szCs w:val="24"/>
              </w:rPr>
              <w:t>1</w:t>
            </w:r>
            <w:r w:rsidRPr="00CF2D53">
              <w:rPr>
                <w:rFonts w:ascii="Arial" w:hAnsi="Arial" w:cs="Arial"/>
                <w:sz w:val="24"/>
                <w:szCs w:val="24"/>
              </w:rPr>
              <w:t xml:space="preserve"> demeure l’arrêt de principe </w:t>
            </w:r>
            <w:r w:rsidRPr="00CF2D53">
              <w:rPr>
                <w:rFonts w:ascii="Arial" w:eastAsia="Times New Roman" w:hAnsi="Arial" w:cs="Arial"/>
                <w:sz w:val="24"/>
                <w:szCs w:val="24"/>
                <w:lang w:eastAsia="fr-CA"/>
              </w:rPr>
              <w:t>en matière de services éducatifs adaptés et que le processus qu’il énonce doit être suivi par un</w:t>
            </w:r>
            <w:r w:rsidR="005732EF">
              <w:rPr>
                <w:rFonts w:ascii="Arial" w:eastAsia="Times New Roman" w:hAnsi="Arial" w:cs="Arial"/>
                <w:sz w:val="24"/>
                <w:szCs w:val="24"/>
                <w:lang w:eastAsia="fr-CA"/>
              </w:rPr>
              <w:t xml:space="preserve"> centre de services scolaire</w:t>
            </w:r>
            <w:r w:rsidRPr="00CF2D53">
              <w:rPr>
                <w:rFonts w:ascii="Arial" w:eastAsia="Times New Roman" w:hAnsi="Arial" w:cs="Arial"/>
                <w:sz w:val="24"/>
                <w:szCs w:val="24"/>
                <w:lang w:eastAsia="fr-CA"/>
              </w:rPr>
              <w:t xml:space="preserve"> pour assurer le respect du droit à l’égalité des élèves handicapés</w:t>
            </w:r>
            <w:r w:rsidRPr="00CF2D53">
              <w:rPr>
                <w:rFonts w:ascii="Arial" w:hAnsi="Arial" w:cs="Arial"/>
                <w:sz w:val="24"/>
                <w:szCs w:val="24"/>
              </w:rPr>
              <w:t>.</w:t>
            </w:r>
          </w:p>
        </w:tc>
      </w:tr>
      <w:tr w:rsidR="00693F6C" w:rsidRPr="000B6700" w14:paraId="75E264E2" w14:textId="77777777" w:rsidTr="005C074F">
        <w:trPr>
          <w:jc w:val="center"/>
        </w:trPr>
        <w:tc>
          <w:tcPr>
            <w:tcW w:w="2093" w:type="dxa"/>
          </w:tcPr>
          <w:p w14:paraId="61D7CB7F" w14:textId="77777777" w:rsidR="00693F6C" w:rsidRPr="00586B07" w:rsidRDefault="00693F6C" w:rsidP="00586B07">
            <w:pPr>
              <w:spacing w:before="120" w:after="120"/>
              <w:ind w:left="72" w:right="72"/>
              <w:rPr>
                <w:rFonts w:ascii="Arial" w:hAnsi="Arial" w:cs="Arial"/>
                <w:b/>
                <w:sz w:val="24"/>
                <w:szCs w:val="24"/>
              </w:rPr>
            </w:pPr>
            <w:r w:rsidRPr="00586B07">
              <w:rPr>
                <w:rFonts w:ascii="Arial" w:hAnsi="Arial" w:cs="Arial"/>
                <w:b/>
                <w:sz w:val="24"/>
                <w:szCs w:val="24"/>
              </w:rPr>
              <w:lastRenderedPageBreak/>
              <w:t>Les personnes protégées</w:t>
            </w:r>
          </w:p>
        </w:tc>
        <w:tc>
          <w:tcPr>
            <w:tcW w:w="7453" w:type="dxa"/>
          </w:tcPr>
          <w:p w14:paraId="2EA6A805" w14:textId="77777777" w:rsidR="00693F6C" w:rsidRPr="00CF2D53" w:rsidRDefault="00693F6C" w:rsidP="00CF2D53">
            <w:pPr>
              <w:spacing w:before="120" w:after="120"/>
              <w:ind w:left="72" w:right="72"/>
              <w:jc w:val="both"/>
              <w:rPr>
                <w:rFonts w:ascii="Arial" w:hAnsi="Arial" w:cs="Arial"/>
                <w:sz w:val="24"/>
                <w:szCs w:val="24"/>
              </w:rPr>
            </w:pPr>
            <w:r w:rsidRPr="00CF2D53">
              <w:rPr>
                <w:rFonts w:ascii="Arial" w:hAnsi="Arial" w:cs="Arial"/>
                <w:sz w:val="24"/>
                <w:szCs w:val="24"/>
              </w:rPr>
              <w:t>Les étudiants de 5 à 21 ans</w:t>
            </w:r>
            <w:r w:rsidRPr="00586B07">
              <w:rPr>
                <w:rStyle w:val="Appelnotedebasdep"/>
                <w:rFonts w:ascii="Arial" w:hAnsi="Arial" w:cs="Arial"/>
                <w:sz w:val="20"/>
                <w:szCs w:val="24"/>
              </w:rPr>
              <w:footnoteReference w:id="4"/>
            </w:r>
            <w:r>
              <w:rPr>
                <w:rFonts w:ascii="Arial" w:hAnsi="Arial" w:cs="Arial"/>
                <w:sz w:val="24"/>
                <w:szCs w:val="24"/>
              </w:rPr>
              <w:t>.</w:t>
            </w:r>
          </w:p>
        </w:tc>
      </w:tr>
      <w:tr w:rsidR="00F558EF" w:rsidRPr="000B6700" w14:paraId="1A843BA9" w14:textId="77777777" w:rsidTr="005C074F">
        <w:trPr>
          <w:jc w:val="center"/>
        </w:trPr>
        <w:tc>
          <w:tcPr>
            <w:tcW w:w="2093" w:type="dxa"/>
          </w:tcPr>
          <w:p w14:paraId="7F96C565" w14:textId="0A38A331" w:rsidR="00F558EF" w:rsidRPr="004E16D0" w:rsidRDefault="00F558EF" w:rsidP="00586B07">
            <w:pPr>
              <w:spacing w:before="120" w:after="120"/>
              <w:ind w:left="72" w:right="72"/>
              <w:rPr>
                <w:rFonts w:ascii="Arial" w:hAnsi="Arial" w:cs="Arial"/>
                <w:b/>
                <w:sz w:val="24"/>
                <w:szCs w:val="24"/>
                <w:highlight w:val="yellow"/>
              </w:rPr>
            </w:pPr>
            <w:r w:rsidRPr="00452B35">
              <w:rPr>
                <w:rFonts w:ascii="Arial" w:hAnsi="Arial" w:cs="Arial"/>
                <w:b/>
                <w:sz w:val="24"/>
                <w:szCs w:val="24"/>
              </w:rPr>
              <w:t>Le cas particulier des écoles privées</w:t>
            </w:r>
          </w:p>
        </w:tc>
        <w:tc>
          <w:tcPr>
            <w:tcW w:w="7453" w:type="dxa"/>
          </w:tcPr>
          <w:p w14:paraId="37440913" w14:textId="77777777" w:rsidR="00A81492" w:rsidRPr="00452B35" w:rsidRDefault="00A81492" w:rsidP="00A81492">
            <w:pPr>
              <w:pStyle w:val="Notedebasdepage"/>
              <w:tabs>
                <w:tab w:val="left" w:pos="479"/>
              </w:tabs>
              <w:spacing w:before="120" w:after="120"/>
              <w:ind w:right="72"/>
              <w:jc w:val="both"/>
              <w:rPr>
                <w:rFonts w:ascii="Arial" w:hAnsi="Arial" w:cs="Arial"/>
                <w:sz w:val="24"/>
                <w:szCs w:val="24"/>
              </w:rPr>
            </w:pPr>
            <w:r w:rsidRPr="00452B35">
              <w:rPr>
                <w:rFonts w:ascii="Arial" w:hAnsi="Arial" w:cs="Arial"/>
                <w:sz w:val="24"/>
                <w:szCs w:val="24"/>
              </w:rPr>
              <w:t xml:space="preserve">Les établissements scolaires privés (même subventionnées) ne sont pas assujettis à la </w:t>
            </w:r>
            <w:r w:rsidRPr="00452B35">
              <w:rPr>
                <w:rFonts w:ascii="Arial" w:hAnsi="Arial" w:cs="Arial"/>
                <w:i/>
                <w:iCs/>
                <w:sz w:val="24"/>
                <w:szCs w:val="24"/>
              </w:rPr>
              <w:t>Loi sur l’instruction publique</w:t>
            </w:r>
            <w:r w:rsidRPr="00452B35">
              <w:rPr>
                <w:rFonts w:ascii="Arial" w:hAnsi="Arial" w:cs="Arial"/>
                <w:sz w:val="24"/>
                <w:szCs w:val="24"/>
              </w:rPr>
              <w:t xml:space="preserve">, non plus qu’à l’article 40 de la </w:t>
            </w:r>
            <w:r w:rsidRPr="00452B35">
              <w:rPr>
                <w:rFonts w:ascii="Arial" w:hAnsi="Arial" w:cs="Arial"/>
                <w:i/>
                <w:iCs/>
                <w:sz w:val="24"/>
                <w:szCs w:val="24"/>
              </w:rPr>
              <w:t>Charte</w:t>
            </w:r>
            <w:r w:rsidRPr="00452B35">
              <w:rPr>
                <w:rFonts w:ascii="Arial" w:hAnsi="Arial" w:cs="Arial"/>
                <w:sz w:val="24"/>
                <w:szCs w:val="24"/>
              </w:rPr>
              <w:t>.</w:t>
            </w:r>
          </w:p>
          <w:p w14:paraId="481CF964" w14:textId="77777777" w:rsidR="00A81492" w:rsidRPr="00452B35" w:rsidRDefault="00A81492" w:rsidP="00A81492">
            <w:pPr>
              <w:pStyle w:val="Notedebasdepage"/>
              <w:tabs>
                <w:tab w:val="left" w:pos="479"/>
              </w:tabs>
              <w:spacing w:before="120" w:after="120"/>
              <w:ind w:right="72"/>
              <w:jc w:val="both"/>
              <w:rPr>
                <w:rFonts w:ascii="Arial" w:hAnsi="Arial" w:cs="Arial"/>
                <w:sz w:val="24"/>
                <w:szCs w:val="24"/>
              </w:rPr>
            </w:pPr>
            <w:r w:rsidRPr="00452B35">
              <w:rPr>
                <w:rFonts w:ascii="Arial" w:hAnsi="Arial" w:cs="Arial"/>
                <w:sz w:val="24"/>
                <w:szCs w:val="24"/>
              </w:rPr>
              <w:t xml:space="preserve">Ils sont toutefois soumis aux articles 10 et 12 de la </w:t>
            </w:r>
            <w:r w:rsidRPr="00452B35">
              <w:rPr>
                <w:rFonts w:ascii="Arial" w:hAnsi="Arial" w:cs="Arial"/>
                <w:i/>
                <w:iCs/>
                <w:sz w:val="24"/>
                <w:szCs w:val="24"/>
              </w:rPr>
              <w:t>Charte</w:t>
            </w:r>
            <w:r w:rsidRPr="00452B35">
              <w:rPr>
                <w:rFonts w:ascii="Arial" w:hAnsi="Arial" w:cs="Arial"/>
                <w:sz w:val="24"/>
                <w:szCs w:val="24"/>
              </w:rPr>
              <w:t xml:space="preserve">, compte tenu qu’ils offrent un service ordinairement offert au public.  L’application des critères de l’arrêt </w:t>
            </w:r>
            <w:r w:rsidRPr="00452B35">
              <w:rPr>
                <w:rFonts w:ascii="Arial" w:hAnsi="Arial" w:cs="Arial"/>
                <w:i/>
                <w:iCs/>
                <w:sz w:val="24"/>
                <w:szCs w:val="24"/>
              </w:rPr>
              <w:t>Potvin</w:t>
            </w:r>
            <w:r w:rsidRPr="00452B35">
              <w:rPr>
                <w:rFonts w:ascii="Arial" w:hAnsi="Arial" w:cs="Arial"/>
                <w:sz w:val="24"/>
                <w:szCs w:val="24"/>
              </w:rPr>
              <w:t xml:space="preserve"> demeure pertinente avec les adaptations nécessaires.</w:t>
            </w:r>
          </w:p>
          <w:p w14:paraId="561FBC36" w14:textId="1A9842DA" w:rsidR="00F558EF" w:rsidRPr="004E16D0" w:rsidRDefault="00A81492" w:rsidP="00A81492">
            <w:pPr>
              <w:spacing w:before="120" w:after="120"/>
              <w:ind w:left="72" w:right="72"/>
              <w:jc w:val="both"/>
              <w:rPr>
                <w:rFonts w:ascii="Arial" w:hAnsi="Arial" w:cs="Arial"/>
                <w:sz w:val="24"/>
                <w:szCs w:val="24"/>
                <w:highlight w:val="yellow"/>
              </w:rPr>
            </w:pPr>
            <w:r w:rsidRPr="00452B35">
              <w:rPr>
                <w:rFonts w:ascii="Arial" w:hAnsi="Arial" w:cs="Arial"/>
                <w:sz w:val="24"/>
                <w:szCs w:val="24"/>
              </w:rPr>
              <w:t xml:space="preserve">Une école privée pourrait bénéficier de l’exception prévue à l’article 20 de la </w:t>
            </w:r>
            <w:r w:rsidRPr="00452B35">
              <w:rPr>
                <w:rFonts w:ascii="Arial" w:hAnsi="Arial" w:cs="Arial"/>
                <w:i/>
                <w:iCs/>
                <w:sz w:val="24"/>
                <w:szCs w:val="24"/>
              </w:rPr>
              <w:t>Charte</w:t>
            </w:r>
            <w:r w:rsidRPr="00452B35">
              <w:rPr>
                <w:rFonts w:ascii="Arial" w:hAnsi="Arial" w:cs="Arial"/>
                <w:sz w:val="24"/>
                <w:szCs w:val="24"/>
              </w:rPr>
              <w:t>, en raison du caractère particulier de sa vocation éducative (ex. sport d’élite).</w:t>
            </w:r>
          </w:p>
        </w:tc>
      </w:tr>
      <w:tr w:rsidR="009A5A1E" w:rsidRPr="000B6700" w14:paraId="6E7B345D" w14:textId="77777777" w:rsidTr="005C074F">
        <w:trPr>
          <w:jc w:val="center"/>
        </w:trPr>
        <w:tc>
          <w:tcPr>
            <w:tcW w:w="2093" w:type="dxa"/>
          </w:tcPr>
          <w:p w14:paraId="607A1902" w14:textId="175984E7" w:rsidR="009A5A1E" w:rsidRPr="004E16D0" w:rsidRDefault="007D535C" w:rsidP="00586B07">
            <w:pPr>
              <w:spacing w:before="120" w:after="120"/>
              <w:ind w:left="72" w:right="72"/>
              <w:rPr>
                <w:rFonts w:ascii="Arial" w:hAnsi="Arial" w:cs="Arial"/>
                <w:b/>
                <w:sz w:val="24"/>
                <w:szCs w:val="24"/>
                <w:highlight w:val="yellow"/>
              </w:rPr>
            </w:pPr>
            <w:r w:rsidRPr="00560C45">
              <w:rPr>
                <w:rFonts w:ascii="Arial" w:hAnsi="Arial" w:cs="Arial"/>
                <w:b/>
                <w:sz w:val="24"/>
                <w:szCs w:val="24"/>
              </w:rPr>
              <w:t>La question particulière de l’octroi des services adaptés (au public</w:t>
            </w:r>
            <w:r w:rsidR="004A4E1E" w:rsidRPr="00560C45">
              <w:rPr>
                <w:rFonts w:ascii="Arial" w:hAnsi="Arial" w:cs="Arial"/>
                <w:b/>
                <w:sz w:val="24"/>
                <w:szCs w:val="24"/>
              </w:rPr>
              <w:t xml:space="preserve"> et au privé</w:t>
            </w:r>
            <w:r w:rsidR="00560C45" w:rsidRPr="00560C45">
              <w:rPr>
                <w:rFonts w:ascii="Arial" w:hAnsi="Arial" w:cs="Arial"/>
                <w:b/>
                <w:sz w:val="24"/>
                <w:szCs w:val="24"/>
              </w:rPr>
              <w:t>)</w:t>
            </w:r>
          </w:p>
        </w:tc>
        <w:tc>
          <w:tcPr>
            <w:tcW w:w="7453" w:type="dxa"/>
          </w:tcPr>
          <w:p w14:paraId="471E3F9D" w14:textId="53F477C3" w:rsidR="009A5A1E" w:rsidRPr="00751709" w:rsidRDefault="00751709" w:rsidP="00A81492">
            <w:pPr>
              <w:pStyle w:val="Notedebasdepage"/>
              <w:tabs>
                <w:tab w:val="left" w:pos="479"/>
              </w:tabs>
              <w:spacing w:before="120" w:after="120"/>
              <w:ind w:right="72"/>
              <w:jc w:val="both"/>
            </w:pPr>
            <w:r w:rsidRPr="00560C45">
              <w:rPr>
                <w:rFonts w:ascii="Arial" w:hAnsi="Arial" w:cs="Arial"/>
                <w:sz w:val="24"/>
                <w:szCs w:val="24"/>
              </w:rPr>
              <w:t>L’enfant en situation de handicap a le droit de recevoir les services raisonnables adaptés à sa condition et qui tiennent compte de ses besoins et capacités, sous réserve de la contrainte excessive (par ex.</w:t>
            </w:r>
            <w:r w:rsidR="007239AB">
              <w:rPr>
                <w:rFonts w:ascii="Arial" w:hAnsi="Arial" w:cs="Arial"/>
                <w:sz w:val="24"/>
                <w:szCs w:val="24"/>
              </w:rPr>
              <w:t> :</w:t>
            </w:r>
            <w:r w:rsidRPr="00560C45">
              <w:rPr>
                <w:rFonts w:ascii="Arial" w:hAnsi="Arial" w:cs="Arial"/>
                <w:sz w:val="24"/>
                <w:szCs w:val="24"/>
              </w:rPr>
              <w:t xml:space="preserve"> les adaptations et services prévus au plan d’intervention doivent lui être fournis).</w:t>
            </w:r>
          </w:p>
        </w:tc>
      </w:tr>
      <w:tr w:rsidR="00693F6C" w:rsidRPr="000B6700" w14:paraId="6AC1BB3A" w14:textId="77777777" w:rsidTr="00D10460">
        <w:trPr>
          <w:jc w:val="center"/>
        </w:trPr>
        <w:tc>
          <w:tcPr>
            <w:tcW w:w="2093" w:type="dxa"/>
          </w:tcPr>
          <w:p w14:paraId="0945238C" w14:textId="77777777" w:rsidR="00693F6C" w:rsidRPr="00586B07" w:rsidRDefault="00693F6C" w:rsidP="00586B07">
            <w:pPr>
              <w:spacing w:before="120" w:after="120"/>
              <w:ind w:left="72" w:right="72"/>
              <w:rPr>
                <w:rFonts w:ascii="Arial" w:hAnsi="Arial" w:cs="Arial"/>
                <w:b/>
                <w:sz w:val="24"/>
                <w:szCs w:val="24"/>
              </w:rPr>
            </w:pPr>
            <w:r w:rsidRPr="00586B07">
              <w:rPr>
                <w:rFonts w:ascii="Arial" w:hAnsi="Arial" w:cs="Arial"/>
                <w:b/>
                <w:sz w:val="24"/>
                <w:szCs w:val="24"/>
              </w:rPr>
              <w:t>Le cas particulier du droit des parents à l’octroi de dommages</w:t>
            </w:r>
          </w:p>
        </w:tc>
        <w:tc>
          <w:tcPr>
            <w:tcW w:w="7453" w:type="dxa"/>
          </w:tcPr>
          <w:p w14:paraId="3C7165A3" w14:textId="77777777" w:rsidR="00693F6C" w:rsidRDefault="00693F6C" w:rsidP="00490222">
            <w:pPr>
              <w:spacing w:before="120" w:after="240"/>
              <w:ind w:left="72" w:right="72"/>
              <w:jc w:val="both"/>
              <w:rPr>
                <w:rFonts w:ascii="Arial" w:hAnsi="Arial" w:cs="Arial"/>
                <w:sz w:val="24"/>
                <w:szCs w:val="24"/>
              </w:rPr>
            </w:pPr>
            <w:r w:rsidRPr="00CF2D53">
              <w:rPr>
                <w:rFonts w:ascii="Arial" w:hAnsi="Arial" w:cs="Arial"/>
                <w:sz w:val="24"/>
                <w:szCs w:val="24"/>
                <w:u w:val="single"/>
              </w:rPr>
              <w:t>Approche de la Commission</w:t>
            </w:r>
            <w:r>
              <w:rPr>
                <w:rFonts w:ascii="Arial" w:hAnsi="Arial" w:cs="Arial"/>
                <w:sz w:val="24"/>
                <w:szCs w:val="24"/>
              </w:rPr>
              <w:t> :</w:t>
            </w:r>
          </w:p>
          <w:p w14:paraId="6554E565" w14:textId="77777777" w:rsidR="00693F6C" w:rsidRPr="00CF2D53" w:rsidRDefault="00693F6C" w:rsidP="00CF2D53">
            <w:pPr>
              <w:spacing w:before="120" w:after="120"/>
              <w:ind w:left="72" w:right="72"/>
              <w:jc w:val="both"/>
              <w:rPr>
                <w:rFonts w:ascii="Arial" w:hAnsi="Arial" w:cs="Arial"/>
                <w:sz w:val="24"/>
                <w:szCs w:val="24"/>
              </w:rPr>
            </w:pPr>
            <w:r w:rsidRPr="00CF2D53">
              <w:rPr>
                <w:rFonts w:ascii="Arial" w:hAnsi="Arial" w:cs="Arial"/>
                <w:sz w:val="24"/>
                <w:szCs w:val="24"/>
              </w:rPr>
              <w:t>En vertu des principes établis en matière de discrimination par association, la Commission a comme position de principe que les parents d’un enfant handicapé victime de discrimination dans les services éducatifs ont le droit d’être indemnisés pour le préjudice qu’ils ont subi en lien avec cette discrimination.</w:t>
            </w:r>
          </w:p>
          <w:p w14:paraId="04F142F7" w14:textId="77777777" w:rsidR="00693F6C" w:rsidRPr="00CF2D53" w:rsidRDefault="00693F6C" w:rsidP="00CF2D53">
            <w:pPr>
              <w:autoSpaceDE w:val="0"/>
              <w:autoSpaceDN w:val="0"/>
              <w:adjustRightInd w:val="0"/>
              <w:spacing w:before="120" w:after="120"/>
              <w:ind w:left="72" w:right="72"/>
              <w:jc w:val="both"/>
              <w:rPr>
                <w:rFonts w:ascii="Arial" w:hAnsi="Arial" w:cs="Arial"/>
                <w:color w:val="000000"/>
                <w:sz w:val="24"/>
                <w:szCs w:val="24"/>
              </w:rPr>
            </w:pPr>
            <w:r w:rsidRPr="00CF2D53">
              <w:rPr>
                <w:rFonts w:ascii="Arial" w:hAnsi="Arial" w:cs="Arial"/>
                <w:color w:val="000000"/>
                <w:sz w:val="24"/>
                <w:szCs w:val="24"/>
              </w:rPr>
              <w:t>La jurisprudence en matière de droit à l'égalité reconnait depuis longtemps la possibilité d'indemniser une personne indirectement visée par l'acte discriminatoire, à condition d’établir un lien entre l'acte discriminatoire et le préjudice subi.</w:t>
            </w:r>
          </w:p>
          <w:p w14:paraId="36A2A717" w14:textId="77777777" w:rsidR="00693F6C" w:rsidRDefault="00693F6C" w:rsidP="00CF2D53">
            <w:pPr>
              <w:autoSpaceDE w:val="0"/>
              <w:autoSpaceDN w:val="0"/>
              <w:adjustRightInd w:val="0"/>
              <w:spacing w:before="120" w:after="120"/>
              <w:ind w:left="72" w:right="72"/>
              <w:jc w:val="both"/>
              <w:rPr>
                <w:rFonts w:ascii="Arial" w:hAnsi="Arial" w:cs="Arial"/>
                <w:color w:val="000000"/>
                <w:sz w:val="24"/>
                <w:szCs w:val="24"/>
              </w:rPr>
            </w:pPr>
            <w:r w:rsidRPr="00CF2D53">
              <w:rPr>
                <w:rFonts w:ascii="Arial" w:hAnsi="Arial" w:cs="Arial"/>
                <w:color w:val="000000"/>
                <w:sz w:val="24"/>
                <w:szCs w:val="24"/>
              </w:rPr>
              <w:lastRenderedPageBreak/>
              <w:t>La Commission considère également qu’une situation de discrimination dans l’octroi des services éducatifs à un enfant peut donner lieu dans le cas des parents de l’enfant à une situation de discrimination intersectionnelle, c’est-à-dire fondée sur des motifs multiples (handicap et état civil) qui s’entrecroisent et se renf</w:t>
            </w:r>
            <w:r>
              <w:rPr>
                <w:rFonts w:ascii="Arial" w:hAnsi="Arial" w:cs="Arial"/>
                <w:color w:val="000000"/>
                <w:sz w:val="24"/>
                <w:szCs w:val="24"/>
              </w:rPr>
              <w:t xml:space="preserve">orcent mutuellement pour créer </w:t>
            </w:r>
            <w:r w:rsidRPr="00CF2D53">
              <w:rPr>
                <w:rFonts w:ascii="Arial" w:hAnsi="Arial" w:cs="Arial"/>
                <w:color w:val="000000"/>
                <w:sz w:val="24"/>
                <w:szCs w:val="24"/>
              </w:rPr>
              <w:t>une situation de discrimination unique.</w:t>
            </w:r>
          </w:p>
          <w:p w14:paraId="4F3CCE43" w14:textId="3A7B7408" w:rsidR="0025399B" w:rsidRPr="00BC13EA" w:rsidRDefault="00EE029D" w:rsidP="00BC13EA">
            <w:pPr>
              <w:spacing w:before="120" w:after="120"/>
              <w:ind w:left="72" w:right="72"/>
              <w:jc w:val="both"/>
              <w:rPr>
                <w:rFonts w:ascii="Arial" w:hAnsi="Arial" w:cs="Arial"/>
                <w:color w:val="000000"/>
                <w:sz w:val="24"/>
                <w:szCs w:val="24"/>
              </w:rPr>
            </w:pPr>
            <w:r>
              <w:rPr>
                <w:rFonts w:ascii="Arial" w:hAnsi="Arial" w:cs="Arial"/>
                <w:color w:val="000000"/>
                <w:sz w:val="24"/>
                <w:szCs w:val="24"/>
              </w:rPr>
              <w:t xml:space="preserve">Dans l’affaire </w:t>
            </w:r>
            <w:r w:rsidRPr="00B60B63">
              <w:rPr>
                <w:rFonts w:ascii="Arial" w:hAnsi="Arial" w:cs="Arial"/>
                <w:i/>
                <w:color w:val="000000"/>
                <w:sz w:val="24"/>
                <w:szCs w:val="24"/>
              </w:rPr>
              <w:t>Sicuro</w:t>
            </w:r>
            <w:r>
              <w:rPr>
                <w:rFonts w:ascii="Arial" w:hAnsi="Arial" w:cs="Arial"/>
                <w:color w:val="000000"/>
                <w:sz w:val="24"/>
                <w:szCs w:val="24"/>
              </w:rPr>
              <w:t>, la</w:t>
            </w:r>
            <w:r w:rsidR="008F1C27">
              <w:rPr>
                <w:rFonts w:ascii="Arial" w:hAnsi="Arial" w:cs="Arial"/>
                <w:color w:val="000000"/>
                <w:sz w:val="24"/>
                <w:szCs w:val="24"/>
              </w:rPr>
              <w:t xml:space="preserve"> </w:t>
            </w:r>
            <w:r w:rsidR="00881FB0">
              <w:rPr>
                <w:rFonts w:ascii="Arial" w:hAnsi="Arial" w:cs="Arial"/>
                <w:color w:val="000000"/>
                <w:sz w:val="24"/>
                <w:szCs w:val="24"/>
              </w:rPr>
              <w:t>Cour</w:t>
            </w:r>
            <w:r w:rsidR="008F1C27">
              <w:rPr>
                <w:rFonts w:ascii="Arial" w:hAnsi="Arial" w:cs="Arial"/>
                <w:color w:val="000000"/>
                <w:sz w:val="24"/>
                <w:szCs w:val="24"/>
              </w:rPr>
              <w:t xml:space="preserve"> d’appel</w:t>
            </w:r>
            <w:r>
              <w:rPr>
                <w:rFonts w:ascii="Arial" w:hAnsi="Arial" w:cs="Arial"/>
                <w:color w:val="000000"/>
                <w:sz w:val="24"/>
                <w:szCs w:val="24"/>
              </w:rPr>
              <w:t xml:space="preserve"> </w:t>
            </w:r>
            <w:r w:rsidR="008F1C27">
              <w:rPr>
                <w:rFonts w:ascii="Arial" w:hAnsi="Arial" w:cs="Arial"/>
                <w:color w:val="000000"/>
                <w:sz w:val="24"/>
                <w:szCs w:val="24"/>
              </w:rPr>
              <w:t xml:space="preserve">a mis fin à une controverse jurisprudentielle </w:t>
            </w:r>
            <w:r w:rsidR="007361F2">
              <w:rPr>
                <w:rFonts w:ascii="Arial" w:hAnsi="Arial" w:cs="Arial"/>
                <w:color w:val="000000"/>
                <w:sz w:val="24"/>
                <w:szCs w:val="24"/>
              </w:rPr>
              <w:t>en reconnaissant</w:t>
            </w:r>
            <w:r w:rsidR="000D5260">
              <w:rPr>
                <w:rFonts w:ascii="Arial" w:hAnsi="Arial" w:cs="Arial"/>
                <w:color w:val="000000"/>
                <w:sz w:val="24"/>
                <w:szCs w:val="24"/>
              </w:rPr>
              <w:t xml:space="preserve"> clairement</w:t>
            </w:r>
            <w:r w:rsidR="008B6778">
              <w:rPr>
                <w:rFonts w:ascii="Arial" w:hAnsi="Arial" w:cs="Arial"/>
                <w:color w:val="000000"/>
                <w:sz w:val="24"/>
                <w:szCs w:val="24"/>
              </w:rPr>
              <w:t xml:space="preserve"> le principe de l’indemnisation des parents </w:t>
            </w:r>
            <w:r>
              <w:rPr>
                <w:rFonts w:ascii="Arial" w:hAnsi="Arial" w:cs="Arial"/>
                <w:color w:val="000000"/>
                <w:sz w:val="24"/>
                <w:szCs w:val="24"/>
              </w:rPr>
              <w:t xml:space="preserve">en réparation du préjudice </w:t>
            </w:r>
            <w:r w:rsidR="008B6778">
              <w:rPr>
                <w:rFonts w:ascii="Arial" w:hAnsi="Arial" w:cs="Arial"/>
                <w:color w:val="000000"/>
                <w:sz w:val="24"/>
                <w:szCs w:val="24"/>
              </w:rPr>
              <w:t xml:space="preserve">découlant de la discrimination </w:t>
            </w:r>
            <w:r w:rsidR="00B256C5">
              <w:rPr>
                <w:rFonts w:ascii="Arial" w:hAnsi="Arial" w:cs="Arial"/>
                <w:color w:val="000000"/>
                <w:sz w:val="24"/>
                <w:szCs w:val="24"/>
              </w:rPr>
              <w:t>subi</w:t>
            </w:r>
            <w:r w:rsidR="0037627D">
              <w:rPr>
                <w:rFonts w:ascii="Arial" w:hAnsi="Arial" w:cs="Arial"/>
                <w:color w:val="000000"/>
                <w:sz w:val="24"/>
                <w:szCs w:val="24"/>
              </w:rPr>
              <w:t>e</w:t>
            </w:r>
            <w:r w:rsidR="00B256C5">
              <w:rPr>
                <w:rFonts w:ascii="Arial" w:hAnsi="Arial" w:cs="Arial"/>
                <w:color w:val="000000"/>
                <w:sz w:val="24"/>
                <w:szCs w:val="24"/>
              </w:rPr>
              <w:t xml:space="preserve"> par </w:t>
            </w:r>
            <w:r w:rsidR="008B6778">
              <w:rPr>
                <w:rFonts w:ascii="Arial" w:hAnsi="Arial" w:cs="Arial"/>
                <w:color w:val="000000"/>
                <w:sz w:val="24"/>
                <w:szCs w:val="24"/>
              </w:rPr>
              <w:t>leur enfant dans les services éducatifs.</w:t>
            </w:r>
          </w:p>
        </w:tc>
      </w:tr>
      <w:tr w:rsidR="00693F6C" w:rsidRPr="000B6700" w14:paraId="280A3C86" w14:textId="77777777" w:rsidTr="00336AB1">
        <w:trPr>
          <w:jc w:val="center"/>
        </w:trPr>
        <w:tc>
          <w:tcPr>
            <w:tcW w:w="2093" w:type="dxa"/>
          </w:tcPr>
          <w:p w14:paraId="25388693" w14:textId="77777777" w:rsidR="00693F6C" w:rsidRPr="00586B07" w:rsidRDefault="00693F6C" w:rsidP="00586B07">
            <w:pPr>
              <w:spacing w:before="120" w:after="120"/>
              <w:ind w:left="72" w:right="72"/>
              <w:rPr>
                <w:rFonts w:ascii="Arial" w:hAnsi="Arial" w:cs="Arial"/>
                <w:b/>
                <w:sz w:val="24"/>
                <w:szCs w:val="24"/>
              </w:rPr>
            </w:pPr>
            <w:r>
              <w:rPr>
                <w:rFonts w:ascii="Arial" w:hAnsi="Arial" w:cs="Arial"/>
                <w:b/>
                <w:sz w:val="24"/>
                <w:szCs w:val="24"/>
              </w:rPr>
              <w:lastRenderedPageBreak/>
              <w:t>Jurisprudence et documents pertinents</w:t>
            </w:r>
          </w:p>
        </w:tc>
        <w:tc>
          <w:tcPr>
            <w:tcW w:w="7453" w:type="dxa"/>
          </w:tcPr>
          <w:p w14:paraId="048F7B77" w14:textId="77777777" w:rsidR="00881FB0" w:rsidRPr="00B60B63" w:rsidRDefault="00E4066F" w:rsidP="00693F6C">
            <w:pPr>
              <w:pStyle w:val="Notedebasdepage"/>
              <w:numPr>
                <w:ilvl w:val="0"/>
                <w:numId w:val="7"/>
              </w:numPr>
              <w:tabs>
                <w:tab w:val="left" w:pos="479"/>
              </w:tabs>
              <w:spacing w:before="120" w:after="120"/>
              <w:ind w:left="479" w:right="72"/>
              <w:jc w:val="both"/>
              <w:rPr>
                <w:rFonts w:ascii="Arial" w:hAnsi="Arial" w:cs="Arial"/>
                <w:i/>
                <w:sz w:val="24"/>
                <w:szCs w:val="24"/>
              </w:rPr>
            </w:pPr>
            <w:hyperlink r:id="rId11" w:history="1">
              <w:r w:rsidR="00881FB0" w:rsidRPr="0062510D">
                <w:rPr>
                  <w:rStyle w:val="Lienhypertexte"/>
                  <w:rFonts w:ascii="Arial" w:hAnsi="Arial" w:cs="Arial"/>
                  <w:i/>
                  <w:sz w:val="24"/>
                  <w:szCs w:val="24"/>
                </w:rPr>
                <w:t>Commission des droits de la personne et des droits de la jeunesse c. Commission scolaire de Montréal</w:t>
              </w:r>
              <w:r w:rsidR="006B1E62" w:rsidRPr="0062510D">
                <w:rPr>
                  <w:rStyle w:val="Lienhypertexte"/>
                  <w:rFonts w:ascii="Arial" w:hAnsi="Arial" w:cs="Arial"/>
                  <w:sz w:val="24"/>
                  <w:szCs w:val="24"/>
                </w:rPr>
                <w:t>, 2017 QCCA 286 (CanLII).</w:t>
              </w:r>
            </w:hyperlink>
            <w:r w:rsidR="006B1E62">
              <w:rPr>
                <w:rFonts w:ascii="Arial" w:hAnsi="Arial" w:cs="Arial"/>
                <w:sz w:val="24"/>
                <w:szCs w:val="24"/>
              </w:rPr>
              <w:t xml:space="preserve"> </w:t>
            </w:r>
            <w:r w:rsidR="00881FB0" w:rsidRPr="00B60B63">
              <w:rPr>
                <w:rFonts w:ascii="Arial" w:hAnsi="Arial" w:cs="Arial"/>
                <w:sz w:val="24"/>
                <w:szCs w:val="24"/>
              </w:rPr>
              <w:t>Demande d’autorisation d’appel à la Cour suprême</w:t>
            </w:r>
            <w:r w:rsidR="005E1C85">
              <w:rPr>
                <w:rFonts w:ascii="Arial" w:hAnsi="Arial" w:cs="Arial"/>
                <w:sz w:val="24"/>
                <w:szCs w:val="24"/>
              </w:rPr>
              <w:t xml:space="preserve"> refusée</w:t>
            </w:r>
            <w:r w:rsidR="006B1E62">
              <w:rPr>
                <w:rFonts w:ascii="Arial" w:hAnsi="Arial" w:cs="Arial"/>
                <w:sz w:val="24"/>
                <w:szCs w:val="24"/>
              </w:rPr>
              <w:t>.</w:t>
            </w:r>
          </w:p>
          <w:p w14:paraId="0F803157" w14:textId="77777777" w:rsidR="00693F6C" w:rsidRDefault="00E4066F" w:rsidP="00693F6C">
            <w:pPr>
              <w:pStyle w:val="Notedebasdepage"/>
              <w:numPr>
                <w:ilvl w:val="0"/>
                <w:numId w:val="7"/>
              </w:numPr>
              <w:tabs>
                <w:tab w:val="left" w:pos="479"/>
              </w:tabs>
              <w:spacing w:before="120" w:after="120"/>
              <w:ind w:left="479" w:right="72"/>
              <w:jc w:val="both"/>
              <w:rPr>
                <w:rFonts w:ascii="Arial" w:hAnsi="Arial" w:cs="Arial"/>
                <w:sz w:val="24"/>
                <w:szCs w:val="24"/>
              </w:rPr>
            </w:pPr>
            <w:hyperlink r:id="rId12" w:history="1">
              <w:r w:rsidR="00693F6C" w:rsidRPr="0062510D">
                <w:rPr>
                  <w:rStyle w:val="Lienhypertexte"/>
                  <w:rFonts w:ascii="Arial" w:hAnsi="Arial" w:cs="Arial"/>
                  <w:i/>
                  <w:sz w:val="24"/>
                  <w:szCs w:val="24"/>
                </w:rPr>
                <w:t>Commission scolaire des Phares</w:t>
              </w:r>
              <w:r w:rsidR="00693F6C" w:rsidRPr="0062510D">
                <w:rPr>
                  <w:rStyle w:val="Lienhypertexte"/>
                  <w:rFonts w:ascii="Arial" w:hAnsi="Arial" w:cs="Arial"/>
                  <w:sz w:val="24"/>
                  <w:szCs w:val="24"/>
                </w:rPr>
                <w:t xml:space="preserve"> c. </w:t>
              </w:r>
              <w:r w:rsidR="00693F6C" w:rsidRPr="0062510D">
                <w:rPr>
                  <w:rStyle w:val="Lienhypertexte"/>
                  <w:rFonts w:ascii="Arial" w:hAnsi="Arial" w:cs="Arial"/>
                  <w:i/>
                  <w:sz w:val="24"/>
                  <w:szCs w:val="24"/>
                </w:rPr>
                <w:t>Commission des droits de la personne et des droits de la jeunesse</w:t>
              </w:r>
              <w:r w:rsidR="00693F6C" w:rsidRPr="0062510D">
                <w:rPr>
                  <w:rStyle w:val="Lienhypertexte"/>
                  <w:rFonts w:ascii="Arial" w:hAnsi="Arial" w:cs="Arial"/>
                  <w:sz w:val="24"/>
                  <w:szCs w:val="24"/>
                </w:rPr>
                <w:t>, 2006 QCCA 82 (CanLII).</w:t>
              </w:r>
            </w:hyperlink>
          </w:p>
          <w:p w14:paraId="43F1976B" w14:textId="77777777" w:rsidR="00693F6C" w:rsidRDefault="00E4066F" w:rsidP="00693F6C">
            <w:pPr>
              <w:pStyle w:val="Notedebasdepage"/>
              <w:numPr>
                <w:ilvl w:val="0"/>
                <w:numId w:val="7"/>
              </w:numPr>
              <w:tabs>
                <w:tab w:val="left" w:pos="479"/>
              </w:tabs>
              <w:spacing w:before="120" w:after="120"/>
              <w:ind w:left="479" w:right="72"/>
              <w:jc w:val="both"/>
              <w:rPr>
                <w:rFonts w:ascii="Arial" w:hAnsi="Arial" w:cs="Arial"/>
                <w:sz w:val="24"/>
                <w:szCs w:val="24"/>
              </w:rPr>
            </w:pPr>
            <w:hyperlink r:id="rId13" w:history="1">
              <w:r w:rsidR="00693F6C" w:rsidRPr="0062510D">
                <w:rPr>
                  <w:rStyle w:val="Lienhypertexte"/>
                  <w:rFonts w:ascii="Arial" w:hAnsi="Arial" w:cs="Arial"/>
                  <w:i/>
                  <w:sz w:val="24"/>
                  <w:szCs w:val="24"/>
                </w:rPr>
                <w:t>Commission scolaire des Phares</w:t>
              </w:r>
              <w:r w:rsidR="00693F6C" w:rsidRPr="0062510D">
                <w:rPr>
                  <w:rStyle w:val="Lienhypertexte"/>
                  <w:rFonts w:ascii="Arial" w:hAnsi="Arial" w:cs="Arial"/>
                  <w:sz w:val="24"/>
                  <w:szCs w:val="24"/>
                </w:rPr>
                <w:t xml:space="preserve"> c. </w:t>
              </w:r>
              <w:r w:rsidR="00693F6C" w:rsidRPr="0062510D">
                <w:rPr>
                  <w:rStyle w:val="Lienhypertexte"/>
                  <w:rFonts w:ascii="Arial" w:hAnsi="Arial" w:cs="Arial"/>
                  <w:i/>
                  <w:sz w:val="24"/>
                  <w:szCs w:val="24"/>
                </w:rPr>
                <w:t>Commission des droits de la personne et des droits de la jeunesse</w:t>
              </w:r>
              <w:r w:rsidR="00693F6C" w:rsidRPr="0062510D">
                <w:rPr>
                  <w:rStyle w:val="Lienhypertexte"/>
                  <w:rFonts w:ascii="Arial" w:hAnsi="Arial" w:cs="Arial"/>
                  <w:sz w:val="24"/>
                  <w:szCs w:val="24"/>
                </w:rPr>
                <w:t>, 2012 QCCA 988 (CanLII).</w:t>
              </w:r>
            </w:hyperlink>
          </w:p>
          <w:p w14:paraId="264AC248" w14:textId="77777777" w:rsidR="00693F6C" w:rsidRPr="00167E70" w:rsidRDefault="00E4066F" w:rsidP="00693F6C">
            <w:pPr>
              <w:pStyle w:val="Notedebasdepage"/>
              <w:numPr>
                <w:ilvl w:val="0"/>
                <w:numId w:val="7"/>
              </w:numPr>
              <w:tabs>
                <w:tab w:val="left" w:pos="479"/>
              </w:tabs>
              <w:spacing w:before="120" w:after="120"/>
              <w:ind w:left="479" w:right="72"/>
              <w:jc w:val="both"/>
              <w:rPr>
                <w:rStyle w:val="Lienhypertexte"/>
                <w:rFonts w:ascii="Arial" w:hAnsi="Arial" w:cs="Arial"/>
                <w:color w:val="auto"/>
                <w:sz w:val="24"/>
                <w:szCs w:val="24"/>
                <w:u w:val="none"/>
              </w:rPr>
            </w:pPr>
            <w:hyperlink r:id="rId14" w:history="1">
              <w:r w:rsidR="00693F6C" w:rsidRPr="0062510D">
                <w:rPr>
                  <w:rStyle w:val="Lienhypertexte"/>
                  <w:rFonts w:ascii="Arial" w:hAnsi="Arial" w:cs="Arial"/>
                  <w:i/>
                  <w:sz w:val="24"/>
                  <w:szCs w:val="24"/>
                </w:rPr>
                <w:t>Moore</w:t>
              </w:r>
              <w:r w:rsidR="00693F6C" w:rsidRPr="0062510D">
                <w:rPr>
                  <w:rStyle w:val="Lienhypertexte"/>
                  <w:rFonts w:ascii="Arial" w:hAnsi="Arial" w:cs="Arial"/>
                  <w:sz w:val="24"/>
                  <w:szCs w:val="24"/>
                </w:rPr>
                <w:t xml:space="preserve"> c. </w:t>
              </w:r>
              <w:r w:rsidR="00693F6C" w:rsidRPr="0062510D">
                <w:rPr>
                  <w:rStyle w:val="Lienhypertexte"/>
                  <w:rFonts w:ascii="Arial" w:hAnsi="Arial" w:cs="Arial"/>
                  <w:i/>
                  <w:sz w:val="24"/>
                  <w:szCs w:val="24"/>
                </w:rPr>
                <w:t>Colombie-Britannique (Éducation)</w:t>
              </w:r>
              <w:r w:rsidR="00693F6C" w:rsidRPr="0062510D">
                <w:rPr>
                  <w:rStyle w:val="Lienhypertexte"/>
                  <w:rFonts w:ascii="Arial" w:hAnsi="Arial" w:cs="Arial"/>
                  <w:sz w:val="24"/>
                  <w:szCs w:val="24"/>
                </w:rPr>
                <w:t>, [2012] 3 RCS 360.</w:t>
              </w:r>
            </w:hyperlink>
          </w:p>
          <w:p w14:paraId="1F39E8AE" w14:textId="6377BA76" w:rsidR="00BF7B54" w:rsidRPr="0037627D" w:rsidRDefault="00E4066F" w:rsidP="00BF7B54">
            <w:pPr>
              <w:pStyle w:val="Notedebasdepage"/>
              <w:numPr>
                <w:ilvl w:val="0"/>
                <w:numId w:val="7"/>
              </w:numPr>
              <w:tabs>
                <w:tab w:val="left" w:pos="479"/>
              </w:tabs>
              <w:spacing w:before="120" w:after="120"/>
              <w:ind w:left="479" w:right="72"/>
              <w:jc w:val="both"/>
              <w:rPr>
                <w:rStyle w:val="Lienhypertexte"/>
                <w:rFonts w:ascii="Arial" w:hAnsi="Arial" w:cs="Arial"/>
                <w:color w:val="auto"/>
                <w:sz w:val="24"/>
                <w:szCs w:val="24"/>
                <w:u w:val="none"/>
              </w:rPr>
            </w:pPr>
            <w:hyperlink r:id="rId15" w:history="1">
              <w:r w:rsidR="00BF7B54" w:rsidRPr="0025117A">
                <w:rPr>
                  <w:rStyle w:val="Lienhypertexte"/>
                  <w:rFonts w:ascii="Arial" w:hAnsi="Arial" w:cs="Arial"/>
                  <w:i/>
                  <w:iCs/>
                  <w:sz w:val="24"/>
                  <w:szCs w:val="24"/>
                </w:rPr>
                <w:t>Commission des droits de la personne et des droits de la jeunesse (Regalado)</w:t>
              </w:r>
              <w:r w:rsidR="00BF7B54" w:rsidRPr="0025117A">
                <w:rPr>
                  <w:rStyle w:val="Lienhypertexte"/>
                  <w:rFonts w:ascii="Arial" w:hAnsi="Arial" w:cs="Arial"/>
                  <w:sz w:val="24"/>
                  <w:szCs w:val="24"/>
                </w:rPr>
                <w:t xml:space="preserve"> c. </w:t>
              </w:r>
              <w:r w:rsidR="00BF7B54" w:rsidRPr="0025117A">
                <w:rPr>
                  <w:rStyle w:val="Lienhypertexte"/>
                  <w:rFonts w:ascii="Arial" w:hAnsi="Arial" w:cs="Arial"/>
                  <w:i/>
                  <w:iCs/>
                  <w:sz w:val="24"/>
                  <w:szCs w:val="24"/>
                </w:rPr>
                <w:t>Collège Montmorency</w:t>
              </w:r>
              <w:r w:rsidR="00BF7B54" w:rsidRPr="0025117A">
                <w:rPr>
                  <w:rStyle w:val="Lienhypertexte"/>
                  <w:rFonts w:ascii="Arial" w:hAnsi="Arial" w:cs="Arial"/>
                  <w:sz w:val="24"/>
                  <w:szCs w:val="24"/>
                </w:rPr>
                <w:t>, 2004 CanLII 28761 (QC TDP)</w:t>
              </w:r>
            </w:hyperlink>
            <w:r w:rsidR="00C81C21">
              <w:rPr>
                <w:rStyle w:val="Lienhypertexte"/>
                <w:rFonts w:ascii="Arial" w:hAnsi="Arial" w:cs="Arial"/>
                <w:i/>
                <w:iCs/>
                <w:color w:val="auto"/>
                <w:sz w:val="24"/>
                <w:szCs w:val="24"/>
                <w:u w:val="none"/>
              </w:rPr>
              <w:t>.</w:t>
            </w:r>
          </w:p>
          <w:p w14:paraId="0BA02518" w14:textId="57554156" w:rsidR="00BF7B54" w:rsidRPr="00FD7699" w:rsidRDefault="00E4066F" w:rsidP="00BF7B54">
            <w:pPr>
              <w:pStyle w:val="Notedebasdepage"/>
              <w:numPr>
                <w:ilvl w:val="0"/>
                <w:numId w:val="7"/>
              </w:numPr>
              <w:tabs>
                <w:tab w:val="left" w:pos="479"/>
              </w:tabs>
              <w:spacing w:before="120" w:after="120"/>
              <w:ind w:left="479" w:right="72"/>
              <w:jc w:val="both"/>
              <w:rPr>
                <w:rFonts w:ascii="Arial" w:hAnsi="Arial" w:cs="Arial"/>
                <w:color w:val="212529"/>
                <w:sz w:val="24"/>
                <w:szCs w:val="24"/>
              </w:rPr>
            </w:pPr>
            <w:hyperlink r:id="rId16" w:history="1">
              <w:r w:rsidR="00BF7B54" w:rsidRPr="003222F2">
                <w:rPr>
                  <w:rStyle w:val="Lienhypertexte"/>
                  <w:rFonts w:ascii="Arial" w:hAnsi="Arial" w:cs="Arial"/>
                  <w:i/>
                  <w:iCs/>
                  <w:sz w:val="24"/>
                  <w:szCs w:val="24"/>
                </w:rPr>
                <w:t>Québec (Commission des droits de la personne)</w:t>
              </w:r>
              <w:r w:rsidR="00BF7B54" w:rsidRPr="003222F2">
                <w:rPr>
                  <w:rStyle w:val="Lienhypertexte"/>
                  <w:rFonts w:ascii="Arial" w:hAnsi="Arial" w:cs="Arial"/>
                  <w:sz w:val="24"/>
                  <w:szCs w:val="24"/>
                </w:rPr>
                <w:t xml:space="preserve"> c. </w:t>
              </w:r>
              <w:r w:rsidR="00BF7B54" w:rsidRPr="003222F2">
                <w:rPr>
                  <w:rStyle w:val="Lienhypertexte"/>
                  <w:rFonts w:ascii="Arial" w:hAnsi="Arial" w:cs="Arial"/>
                  <w:i/>
                  <w:iCs/>
                  <w:sz w:val="24"/>
                  <w:szCs w:val="24"/>
                </w:rPr>
                <w:t>Corp. du Collège Notre-Dame du Sacré-Cœur</w:t>
              </w:r>
              <w:r w:rsidR="00BF7B54" w:rsidRPr="003222F2">
                <w:rPr>
                  <w:rStyle w:val="Lienhypertexte"/>
                  <w:rFonts w:ascii="Arial" w:hAnsi="Arial" w:cs="Arial"/>
                  <w:sz w:val="24"/>
                  <w:szCs w:val="24"/>
                </w:rPr>
                <w:t>, 2001 CanLII 11763 (QC CA)</w:t>
              </w:r>
            </w:hyperlink>
            <w:r w:rsidR="00C81C21">
              <w:rPr>
                <w:rFonts w:ascii="Arial" w:hAnsi="Arial" w:cs="Arial"/>
                <w:i/>
                <w:iCs/>
                <w:color w:val="212529"/>
                <w:sz w:val="24"/>
                <w:szCs w:val="24"/>
              </w:rPr>
              <w:t>.</w:t>
            </w:r>
          </w:p>
          <w:p w14:paraId="01468DEF" w14:textId="7CB87427" w:rsidR="00167E70" w:rsidRPr="00033353" w:rsidRDefault="00E4066F" w:rsidP="00BF7B54">
            <w:pPr>
              <w:pStyle w:val="Notedebasdepage"/>
              <w:numPr>
                <w:ilvl w:val="0"/>
                <w:numId w:val="7"/>
              </w:numPr>
              <w:tabs>
                <w:tab w:val="left" w:pos="479"/>
              </w:tabs>
              <w:spacing w:before="120" w:after="120"/>
              <w:ind w:left="479" w:right="72"/>
              <w:jc w:val="both"/>
              <w:rPr>
                <w:rFonts w:ascii="Arial" w:hAnsi="Arial" w:cs="Arial"/>
                <w:sz w:val="24"/>
                <w:szCs w:val="24"/>
              </w:rPr>
            </w:pPr>
            <w:hyperlink r:id="rId17" w:history="1">
              <w:r w:rsidR="00BF7B54" w:rsidRPr="00C962EC">
                <w:rPr>
                  <w:rStyle w:val="Lienhypertexte"/>
                  <w:rFonts w:ascii="Arial" w:hAnsi="Arial" w:cs="Arial"/>
                  <w:i/>
                  <w:iCs/>
                  <w:sz w:val="24"/>
                  <w:szCs w:val="24"/>
                </w:rPr>
                <w:t>Johnson</w:t>
              </w:r>
              <w:r w:rsidR="00BF7B54" w:rsidRPr="00C962EC">
                <w:rPr>
                  <w:rStyle w:val="Lienhypertexte"/>
                  <w:rFonts w:ascii="Arial" w:hAnsi="Arial" w:cs="Arial"/>
                  <w:sz w:val="24"/>
                  <w:szCs w:val="24"/>
                </w:rPr>
                <w:t xml:space="preserve"> c. </w:t>
              </w:r>
              <w:r w:rsidR="00BF7B54" w:rsidRPr="00C962EC">
                <w:rPr>
                  <w:rStyle w:val="Lienhypertexte"/>
                  <w:rFonts w:ascii="Arial" w:hAnsi="Arial" w:cs="Arial"/>
                  <w:i/>
                  <w:iCs/>
                  <w:sz w:val="24"/>
                  <w:szCs w:val="24"/>
                </w:rPr>
                <w:t>Commission scolaire Lester B. Pearson</w:t>
              </w:r>
              <w:r w:rsidR="00BF7B54" w:rsidRPr="00C962EC">
                <w:rPr>
                  <w:rStyle w:val="Lienhypertexte"/>
                  <w:rFonts w:ascii="Arial" w:hAnsi="Arial" w:cs="Arial"/>
                  <w:sz w:val="24"/>
                  <w:szCs w:val="24"/>
                </w:rPr>
                <w:t>, 2000, CanLII 5769 (QC CA)</w:t>
              </w:r>
            </w:hyperlink>
            <w:r w:rsidR="00C81C21">
              <w:rPr>
                <w:rFonts w:ascii="Arial" w:hAnsi="Arial" w:cs="Arial"/>
                <w:i/>
                <w:iCs/>
                <w:sz w:val="24"/>
                <w:szCs w:val="24"/>
              </w:rPr>
              <w:t>.</w:t>
            </w:r>
          </w:p>
          <w:p w14:paraId="74241A1A" w14:textId="77777777" w:rsidR="00702B3E" w:rsidRPr="00A65192" w:rsidRDefault="00E4066F" w:rsidP="00A65192">
            <w:pPr>
              <w:pStyle w:val="Notedebasdepage"/>
              <w:numPr>
                <w:ilvl w:val="0"/>
                <w:numId w:val="7"/>
              </w:numPr>
              <w:tabs>
                <w:tab w:val="left" w:pos="479"/>
              </w:tabs>
              <w:spacing w:before="120" w:after="120"/>
              <w:ind w:left="479" w:right="72"/>
              <w:jc w:val="both"/>
              <w:rPr>
                <w:rFonts w:ascii="Arial" w:hAnsi="Arial" w:cs="Arial"/>
                <w:sz w:val="24"/>
                <w:szCs w:val="24"/>
              </w:rPr>
            </w:pPr>
            <w:hyperlink r:id="rId18" w:history="1">
              <w:r w:rsidR="00702B3E" w:rsidRPr="00A65192">
                <w:rPr>
                  <w:rStyle w:val="Lienhypertexte"/>
                  <w:rFonts w:ascii="Arial" w:hAnsi="Arial" w:cs="Arial"/>
                  <w:smallCaps/>
                  <w:sz w:val="24"/>
                  <w:szCs w:val="24"/>
                </w:rPr>
                <w:t xml:space="preserve">commission des droits de la personne et des droits de la jeunesse, </w:t>
              </w:r>
              <w:r w:rsidR="00702B3E" w:rsidRPr="00A65192">
                <w:rPr>
                  <w:rStyle w:val="Lienhypertexte"/>
                  <w:rFonts w:ascii="Arial" w:hAnsi="Arial" w:cs="Arial"/>
                  <w:i/>
                  <w:sz w:val="24"/>
                  <w:szCs w:val="24"/>
                </w:rPr>
                <w:t>Le respect des droits des élèves HDAA et l’organisation des services éducatifs dans le réseau scolaire québécois : une étude systémique</w:t>
              </w:r>
              <w:r w:rsidR="00702B3E" w:rsidRPr="00A65192">
                <w:rPr>
                  <w:rStyle w:val="Lienhypertexte"/>
                  <w:rFonts w:ascii="Arial" w:hAnsi="Arial" w:cs="Arial"/>
                  <w:sz w:val="24"/>
                  <w:szCs w:val="24"/>
                </w:rPr>
                <w:t>, Daniel Ducharme, Johanne Magloire et Me Karina Montminy (Cat. 2.120-12.61.1), Avril 2018.</w:t>
              </w:r>
            </w:hyperlink>
            <w:r w:rsidR="00830BC5">
              <w:rPr>
                <w:rFonts w:ascii="Arial" w:hAnsi="Arial" w:cs="Arial"/>
                <w:sz w:val="24"/>
                <w:szCs w:val="24"/>
              </w:rPr>
              <w:t xml:space="preserve"> – </w:t>
            </w:r>
            <w:hyperlink r:id="rId19" w:history="1">
              <w:r w:rsidR="00830BC5" w:rsidRPr="00A65192">
                <w:rPr>
                  <w:rStyle w:val="Lienhypertexte"/>
                  <w:rFonts w:ascii="Arial" w:hAnsi="Arial" w:cs="Arial"/>
                  <w:sz w:val="24"/>
                  <w:szCs w:val="24"/>
                </w:rPr>
                <w:t>Document synthèse</w:t>
              </w:r>
            </w:hyperlink>
            <w:r w:rsidR="00A65192">
              <w:rPr>
                <w:rFonts w:ascii="Arial" w:hAnsi="Arial" w:cs="Arial"/>
                <w:sz w:val="24"/>
                <w:szCs w:val="24"/>
              </w:rPr>
              <w:t>.</w:t>
            </w:r>
          </w:p>
        </w:tc>
      </w:tr>
    </w:tbl>
    <w:p w14:paraId="7D09A254" w14:textId="552A19AC" w:rsidR="00B256C5" w:rsidRPr="00C81C21" w:rsidRDefault="00B256C5" w:rsidP="00693F6C">
      <w:pPr>
        <w:rPr>
          <w:rFonts w:ascii="Arial" w:hAnsi="Arial" w:cs="Arial"/>
        </w:rPr>
      </w:pPr>
    </w:p>
    <w:sectPr w:rsidR="00B256C5" w:rsidRPr="00C81C21">
      <w:headerReference w:type="even" r:id="rId20"/>
      <w:headerReference w:type="default" r:id="rId21"/>
      <w:footerReference w:type="even" r:id="rId22"/>
      <w:footerReference w:type="default" r:id="rId23"/>
      <w:headerReference w:type="first" r:id="rId24"/>
      <w:footerReference w:type="first" r:id="rId2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75CE4" w14:textId="77777777" w:rsidR="00F76C87" w:rsidRDefault="00F76C87" w:rsidP="00384A74">
      <w:pPr>
        <w:spacing w:after="0" w:line="240" w:lineRule="auto"/>
      </w:pPr>
      <w:r>
        <w:separator/>
      </w:r>
    </w:p>
  </w:endnote>
  <w:endnote w:type="continuationSeparator" w:id="0">
    <w:p w14:paraId="6197A77B" w14:textId="77777777" w:rsidR="00F76C87" w:rsidRDefault="00F76C87" w:rsidP="00384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2B64" w14:textId="77777777" w:rsidR="00160B46" w:rsidRDefault="00160B4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957413"/>
      <w:docPartObj>
        <w:docPartGallery w:val="Page Numbers (Bottom of Page)"/>
        <w:docPartUnique/>
      </w:docPartObj>
    </w:sdtPr>
    <w:sdtEndPr>
      <w:rPr>
        <w:rFonts w:ascii="Arial" w:hAnsi="Arial" w:cs="Arial"/>
      </w:rPr>
    </w:sdtEndPr>
    <w:sdtContent>
      <w:p w14:paraId="35C7B83B" w14:textId="77777777" w:rsidR="0037421A" w:rsidRPr="00693F6C" w:rsidRDefault="0037421A" w:rsidP="0037421A">
        <w:pPr>
          <w:pStyle w:val="Pieddepage"/>
          <w:jc w:val="right"/>
          <w:rPr>
            <w:rFonts w:ascii="Arial" w:hAnsi="Arial" w:cs="Arial"/>
          </w:rPr>
        </w:pPr>
        <w:r w:rsidRPr="00693F6C">
          <w:rPr>
            <w:rFonts w:ascii="Arial" w:hAnsi="Arial" w:cs="Arial"/>
          </w:rPr>
          <w:fldChar w:fldCharType="begin"/>
        </w:r>
        <w:r w:rsidRPr="00693F6C">
          <w:rPr>
            <w:rFonts w:ascii="Arial" w:hAnsi="Arial" w:cs="Arial"/>
          </w:rPr>
          <w:instrText>PAGE   \* MERGEFORMAT</w:instrText>
        </w:r>
        <w:r w:rsidRPr="00693F6C">
          <w:rPr>
            <w:rFonts w:ascii="Arial" w:hAnsi="Arial" w:cs="Arial"/>
          </w:rPr>
          <w:fldChar w:fldCharType="separate"/>
        </w:r>
        <w:r w:rsidR="002E033B" w:rsidRPr="002E033B">
          <w:rPr>
            <w:rFonts w:ascii="Arial" w:hAnsi="Arial" w:cs="Arial"/>
            <w:noProof/>
            <w:lang w:val="fr-FR"/>
          </w:rPr>
          <w:t>5</w:t>
        </w:r>
        <w:r w:rsidRPr="00693F6C">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3B65" w14:textId="77777777" w:rsidR="00160B46" w:rsidRDefault="00160B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DA23D" w14:textId="77777777" w:rsidR="00F76C87" w:rsidRDefault="00F76C87" w:rsidP="00384A74">
      <w:pPr>
        <w:spacing w:after="0" w:line="240" w:lineRule="auto"/>
      </w:pPr>
      <w:r>
        <w:separator/>
      </w:r>
    </w:p>
  </w:footnote>
  <w:footnote w:type="continuationSeparator" w:id="0">
    <w:p w14:paraId="27EA5828" w14:textId="77777777" w:rsidR="00F76C87" w:rsidRDefault="00F76C87" w:rsidP="00384A74">
      <w:pPr>
        <w:spacing w:after="0" w:line="240" w:lineRule="auto"/>
      </w:pPr>
      <w:r>
        <w:continuationSeparator/>
      </w:r>
    </w:p>
  </w:footnote>
  <w:footnote w:id="1">
    <w:p w14:paraId="0026799C" w14:textId="77777777" w:rsidR="00693F6C" w:rsidRPr="000B6700" w:rsidRDefault="00693F6C" w:rsidP="009C1028">
      <w:pPr>
        <w:pStyle w:val="Notedebasdepage"/>
        <w:tabs>
          <w:tab w:val="left" w:pos="360"/>
        </w:tabs>
        <w:spacing w:before="80" w:after="80"/>
        <w:ind w:left="360" w:hanging="360"/>
        <w:jc w:val="both"/>
        <w:rPr>
          <w:rFonts w:ascii="Arial" w:hAnsi="Arial" w:cs="Arial"/>
        </w:rPr>
      </w:pPr>
      <w:r w:rsidRPr="000B6700">
        <w:rPr>
          <w:rStyle w:val="Appelnotedebasdep"/>
          <w:rFonts w:ascii="Arial" w:hAnsi="Arial" w:cs="Arial"/>
        </w:rPr>
        <w:footnoteRef/>
      </w:r>
      <w:r w:rsidRPr="000B6700">
        <w:rPr>
          <w:rFonts w:ascii="Arial" w:hAnsi="Arial" w:cs="Arial"/>
        </w:rPr>
        <w:t xml:space="preserve"> </w:t>
      </w:r>
      <w:r>
        <w:rPr>
          <w:rFonts w:ascii="Arial" w:hAnsi="Arial" w:cs="Arial"/>
        </w:rPr>
        <w:tab/>
      </w:r>
      <w:r w:rsidRPr="000B6700">
        <w:rPr>
          <w:rFonts w:ascii="Arial" w:hAnsi="Arial" w:cs="Arial"/>
          <w:i/>
        </w:rPr>
        <w:t>Commission scolaire des Phares</w:t>
      </w:r>
      <w:r w:rsidRPr="000B6700">
        <w:rPr>
          <w:rFonts w:ascii="Arial" w:hAnsi="Arial" w:cs="Arial"/>
        </w:rPr>
        <w:t xml:space="preserve"> c. </w:t>
      </w:r>
      <w:r w:rsidRPr="000B6700">
        <w:rPr>
          <w:rFonts w:ascii="Arial" w:hAnsi="Arial" w:cs="Arial"/>
          <w:i/>
        </w:rPr>
        <w:t>Commission des droits de la personne et des droits de la jeunesse</w:t>
      </w:r>
      <w:r w:rsidRPr="000B6700">
        <w:rPr>
          <w:rFonts w:ascii="Arial" w:hAnsi="Arial" w:cs="Arial"/>
        </w:rPr>
        <w:t>, 2006 QCCA 82 (CanLII).</w:t>
      </w:r>
    </w:p>
  </w:footnote>
  <w:footnote w:id="2">
    <w:p w14:paraId="5F13F97C" w14:textId="77777777" w:rsidR="00811636" w:rsidRPr="00586B07" w:rsidRDefault="00811636" w:rsidP="00811636">
      <w:pPr>
        <w:pStyle w:val="Notedebasdepage"/>
        <w:tabs>
          <w:tab w:val="left" w:pos="360"/>
        </w:tabs>
        <w:spacing w:before="80" w:after="80"/>
        <w:ind w:left="360" w:hanging="360"/>
        <w:jc w:val="both"/>
        <w:rPr>
          <w:rFonts w:ascii="Arial" w:hAnsi="Arial" w:cs="Arial"/>
        </w:rPr>
      </w:pPr>
      <w:r w:rsidRPr="00586B07">
        <w:rPr>
          <w:rStyle w:val="Appelnotedebasdep"/>
          <w:rFonts w:ascii="Arial" w:hAnsi="Arial" w:cs="Arial"/>
        </w:rPr>
        <w:footnoteRef/>
      </w:r>
      <w:r w:rsidRPr="00586B07">
        <w:rPr>
          <w:rFonts w:ascii="Arial" w:hAnsi="Arial" w:cs="Arial"/>
        </w:rPr>
        <w:t xml:space="preserve"> </w:t>
      </w:r>
      <w:r>
        <w:rPr>
          <w:rFonts w:ascii="Arial" w:hAnsi="Arial" w:cs="Arial"/>
        </w:rPr>
        <w:tab/>
      </w:r>
      <w:r w:rsidRPr="00586B07">
        <w:rPr>
          <w:rFonts w:ascii="Arial" w:hAnsi="Arial" w:cs="Arial"/>
          <w:i/>
        </w:rPr>
        <w:t>Commission scolaire des Phares</w:t>
      </w:r>
      <w:r w:rsidRPr="00586B07">
        <w:rPr>
          <w:rFonts w:ascii="Arial" w:hAnsi="Arial" w:cs="Arial"/>
        </w:rPr>
        <w:t xml:space="preserve"> c. </w:t>
      </w:r>
      <w:r w:rsidRPr="00586B07">
        <w:rPr>
          <w:rFonts w:ascii="Arial" w:hAnsi="Arial" w:cs="Arial"/>
          <w:i/>
        </w:rPr>
        <w:t>Commission des droits de la personne et des droits de la jeunesse</w:t>
      </w:r>
      <w:r w:rsidRPr="00586B07">
        <w:rPr>
          <w:rFonts w:ascii="Arial" w:hAnsi="Arial" w:cs="Arial"/>
        </w:rPr>
        <w:t>, 2012 QCCA 988 (CanLII).</w:t>
      </w:r>
    </w:p>
  </w:footnote>
  <w:footnote w:id="3">
    <w:p w14:paraId="1C570382" w14:textId="77777777" w:rsidR="00875ADC" w:rsidRDefault="00875ADC" w:rsidP="00875ADC">
      <w:pPr>
        <w:pStyle w:val="Notedebasdepage"/>
        <w:ind w:left="284" w:hanging="284"/>
        <w:jc w:val="both"/>
      </w:pPr>
      <w:r>
        <w:rPr>
          <w:rStyle w:val="Appelnotedebasdep"/>
        </w:rPr>
        <w:footnoteRef/>
      </w:r>
      <w:r>
        <w:t xml:space="preserve">   </w:t>
      </w:r>
      <w:r>
        <w:tab/>
        <w:t xml:space="preserve"> </w:t>
      </w:r>
      <w:r w:rsidRPr="0028377A">
        <w:rPr>
          <w:rFonts w:ascii="Arial" w:hAnsi="Arial" w:cs="Arial"/>
          <w:i/>
        </w:rPr>
        <w:t>Commission des droits de la personne et des droits de la jeunesse</w:t>
      </w:r>
      <w:r w:rsidRPr="0028377A">
        <w:rPr>
          <w:rFonts w:ascii="Arial" w:hAnsi="Arial" w:cs="Arial"/>
        </w:rPr>
        <w:t xml:space="preserve"> c. </w:t>
      </w:r>
      <w:r w:rsidRPr="0028377A">
        <w:rPr>
          <w:rFonts w:ascii="Arial" w:hAnsi="Arial" w:cs="Arial"/>
          <w:i/>
        </w:rPr>
        <w:t>Commission scolaire de Montréal</w:t>
      </w:r>
      <w:r w:rsidRPr="0028377A">
        <w:rPr>
          <w:rFonts w:ascii="Arial" w:hAnsi="Arial" w:cs="Arial"/>
        </w:rPr>
        <w:t>,</w:t>
      </w:r>
      <w:r>
        <w:rPr>
          <w:rFonts w:ascii="Arial" w:hAnsi="Arial" w:cs="Arial"/>
        </w:rPr>
        <w:t xml:space="preserve"> 2017 QCCA 286 (CanLII)</w:t>
      </w:r>
      <w:r w:rsidR="00AB2101">
        <w:rPr>
          <w:rFonts w:ascii="Arial" w:hAnsi="Arial" w:cs="Arial"/>
        </w:rPr>
        <w:t xml:space="preserve">. </w:t>
      </w:r>
      <w:r w:rsidR="00CA6819">
        <w:rPr>
          <w:rFonts w:ascii="Arial" w:hAnsi="Arial" w:cs="Arial"/>
        </w:rPr>
        <w:t>Demande d’autorisation d’appel à la Cour suprême</w:t>
      </w:r>
      <w:r w:rsidR="005E1C85">
        <w:rPr>
          <w:rFonts w:ascii="Arial" w:hAnsi="Arial" w:cs="Arial"/>
        </w:rPr>
        <w:t xml:space="preserve"> refusée</w:t>
      </w:r>
      <w:r>
        <w:rPr>
          <w:rFonts w:ascii="Arial" w:hAnsi="Arial" w:cs="Arial"/>
        </w:rPr>
        <w:t>.</w:t>
      </w:r>
    </w:p>
  </w:footnote>
  <w:footnote w:id="4">
    <w:p w14:paraId="512E64F2" w14:textId="77777777" w:rsidR="00693F6C" w:rsidRPr="000B6700" w:rsidRDefault="00693F6C" w:rsidP="00693F6C">
      <w:pPr>
        <w:pStyle w:val="Notedebasdepage"/>
        <w:tabs>
          <w:tab w:val="left" w:pos="360"/>
        </w:tabs>
        <w:spacing w:before="80" w:after="80"/>
        <w:ind w:left="360" w:hanging="360"/>
        <w:jc w:val="both"/>
        <w:rPr>
          <w:rFonts w:ascii="Arial" w:hAnsi="Arial" w:cs="Arial"/>
        </w:rPr>
      </w:pPr>
      <w:r w:rsidRPr="00586B07">
        <w:rPr>
          <w:rStyle w:val="Appelnotedebasdep"/>
          <w:rFonts w:ascii="Arial" w:hAnsi="Arial" w:cs="Arial"/>
        </w:rPr>
        <w:footnoteRef/>
      </w:r>
      <w:r w:rsidRPr="00586B07">
        <w:rPr>
          <w:rFonts w:ascii="Arial" w:hAnsi="Arial" w:cs="Arial"/>
        </w:rPr>
        <w:t xml:space="preserve"> </w:t>
      </w:r>
      <w:r>
        <w:rPr>
          <w:rFonts w:ascii="Arial" w:hAnsi="Arial" w:cs="Arial"/>
        </w:rPr>
        <w:tab/>
      </w:r>
      <w:r w:rsidRPr="00586B07">
        <w:rPr>
          <w:rFonts w:ascii="Arial" w:hAnsi="Arial" w:cs="Arial"/>
          <w:i/>
        </w:rPr>
        <w:t>Loi sur l’instruction publique</w:t>
      </w:r>
      <w:r w:rsidR="00702B3E">
        <w:rPr>
          <w:rFonts w:ascii="Arial" w:hAnsi="Arial" w:cs="Arial"/>
        </w:rPr>
        <w:t xml:space="preserve">, RLRQ c. I-13.3; </w:t>
      </w:r>
      <w:r w:rsidRPr="00586B07">
        <w:rPr>
          <w:rFonts w:ascii="Arial" w:hAnsi="Arial" w:cs="Arial"/>
          <w:i/>
        </w:rPr>
        <w:t>Loi assurant l'exercice des droits des personnes handicapées en vue de leur intégration scolaire, professionnelle et sociale</w:t>
      </w:r>
      <w:r w:rsidRPr="00586B07">
        <w:rPr>
          <w:rFonts w:ascii="Arial" w:hAnsi="Arial" w:cs="Arial"/>
        </w:rPr>
        <w:t>, RLRQ c. E-20.1.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14E0" w14:textId="77777777" w:rsidR="00160B46" w:rsidRDefault="00160B4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3D12" w14:textId="2BAD6A79" w:rsidR="00353A59" w:rsidRPr="0063365A" w:rsidRDefault="00320F6F" w:rsidP="00CF2D53">
    <w:pPr>
      <w:pStyle w:val="En-tte"/>
      <w:tabs>
        <w:tab w:val="clear" w:pos="4703"/>
        <w:tab w:val="clear" w:pos="9406"/>
        <w:tab w:val="right" w:pos="9360"/>
      </w:tabs>
      <w:rPr>
        <w:rFonts w:ascii="Arial" w:hAnsi="Arial" w:cs="Arial"/>
        <w:sz w:val="24"/>
      </w:rPr>
    </w:pPr>
    <w:r>
      <w:rPr>
        <w:rFonts w:ascii="Arial" w:hAnsi="Arial" w:cs="Arial"/>
        <w:noProof/>
        <w:sz w:val="24"/>
      </w:rPr>
      <w:drawing>
        <wp:inline distT="0" distB="0" distL="0" distR="0" wp14:anchorId="36DA6CDD" wp14:editId="78BEBF23">
          <wp:extent cx="1288496" cy="360000"/>
          <wp:effectExtent l="0" t="0" r="6985" b="2540"/>
          <wp:docPr id="1749028075" name="Image 1" descr="Logo de la Commission des droits de la personne et des droits de la jeun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028075" name="Image 1" descr="Logo de la Commission des droits de la personne et des droits de la jeunesse."/>
                  <pic:cNvPicPr/>
                </pic:nvPicPr>
                <pic:blipFill>
                  <a:blip r:embed="rId1">
                    <a:extLst>
                      <a:ext uri="{28A0092B-C50C-407E-A947-70E740481C1C}">
                        <a14:useLocalDpi xmlns:a14="http://schemas.microsoft.com/office/drawing/2010/main" val="0"/>
                      </a:ext>
                    </a:extLst>
                  </a:blip>
                  <a:stretch>
                    <a:fillRect/>
                  </a:stretch>
                </pic:blipFill>
                <pic:spPr>
                  <a:xfrm>
                    <a:off x="0" y="0"/>
                    <a:ext cx="1288496" cy="360000"/>
                  </a:xfrm>
                  <a:prstGeom prst="rect">
                    <a:avLst/>
                  </a:prstGeom>
                </pic:spPr>
              </pic:pic>
            </a:graphicData>
          </a:graphic>
        </wp:inline>
      </w:drawing>
    </w:r>
    <w:r w:rsidR="00353A59" w:rsidRPr="0063365A">
      <w:rPr>
        <w:rFonts w:ascii="Arial" w:hAnsi="Arial" w:cs="Arial"/>
        <w:sz w:val="24"/>
      </w:rPr>
      <w:tab/>
    </w:r>
    <w:r w:rsidR="006D0D3E">
      <w:rPr>
        <w:rFonts w:ascii="Arial" w:hAnsi="Arial" w:cs="Arial"/>
        <w:sz w:val="24"/>
      </w:rPr>
      <w:t xml:space="preserve">Mise à jour : </w:t>
    </w:r>
    <w:r w:rsidR="00341F69">
      <w:rPr>
        <w:rFonts w:ascii="Arial" w:hAnsi="Arial" w:cs="Arial"/>
        <w:sz w:val="24"/>
      </w:rPr>
      <w:t>Mai 2023</w:t>
    </w:r>
  </w:p>
  <w:p w14:paraId="0A5EC245" w14:textId="77777777" w:rsidR="00353A59" w:rsidRPr="00CF2D53" w:rsidRDefault="00353A59" w:rsidP="00CF2D53">
    <w:pPr>
      <w:pStyle w:val="En-tte"/>
      <w:tabs>
        <w:tab w:val="clear" w:pos="4703"/>
        <w:tab w:val="clear" w:pos="9406"/>
        <w:tab w:val="right" w:pos="9360"/>
      </w:tabs>
      <w:spacing w:after="480"/>
      <w:rPr>
        <w:rFonts w:ascii="Arial" w:hAnsi="Arial" w:cs="Arial"/>
        <w:b/>
        <w:u w:val="single"/>
      </w:rPr>
    </w:pPr>
    <w:r w:rsidRPr="0063365A">
      <w:rPr>
        <w:rFonts w:ascii="Arial" w:hAnsi="Arial" w:cs="Arial"/>
        <w:b/>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EFCE" w14:textId="77777777" w:rsidR="00160B46" w:rsidRDefault="00160B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7704"/>
    <w:multiLevelType w:val="hybridMultilevel"/>
    <w:tmpl w:val="2D6E52A8"/>
    <w:lvl w:ilvl="0" w:tplc="0C0C0011">
      <w:start w:val="1"/>
      <w:numFmt w:val="decimal"/>
      <w:lvlText w:val="%1)"/>
      <w:lvlJc w:val="left"/>
      <w:pPr>
        <w:ind w:left="792" w:hanging="360"/>
      </w:pPr>
    </w:lvl>
    <w:lvl w:ilvl="1" w:tplc="0C0C0019" w:tentative="1">
      <w:start w:val="1"/>
      <w:numFmt w:val="lowerLetter"/>
      <w:lvlText w:val="%2."/>
      <w:lvlJc w:val="left"/>
      <w:pPr>
        <w:ind w:left="1512" w:hanging="360"/>
      </w:pPr>
    </w:lvl>
    <w:lvl w:ilvl="2" w:tplc="0C0C001B" w:tentative="1">
      <w:start w:val="1"/>
      <w:numFmt w:val="lowerRoman"/>
      <w:lvlText w:val="%3."/>
      <w:lvlJc w:val="right"/>
      <w:pPr>
        <w:ind w:left="2232" w:hanging="180"/>
      </w:pPr>
    </w:lvl>
    <w:lvl w:ilvl="3" w:tplc="0C0C000F" w:tentative="1">
      <w:start w:val="1"/>
      <w:numFmt w:val="decimal"/>
      <w:lvlText w:val="%4."/>
      <w:lvlJc w:val="left"/>
      <w:pPr>
        <w:ind w:left="2952" w:hanging="360"/>
      </w:pPr>
    </w:lvl>
    <w:lvl w:ilvl="4" w:tplc="0C0C0019" w:tentative="1">
      <w:start w:val="1"/>
      <w:numFmt w:val="lowerLetter"/>
      <w:lvlText w:val="%5."/>
      <w:lvlJc w:val="left"/>
      <w:pPr>
        <w:ind w:left="3672" w:hanging="360"/>
      </w:pPr>
    </w:lvl>
    <w:lvl w:ilvl="5" w:tplc="0C0C001B" w:tentative="1">
      <w:start w:val="1"/>
      <w:numFmt w:val="lowerRoman"/>
      <w:lvlText w:val="%6."/>
      <w:lvlJc w:val="right"/>
      <w:pPr>
        <w:ind w:left="4392" w:hanging="180"/>
      </w:pPr>
    </w:lvl>
    <w:lvl w:ilvl="6" w:tplc="0C0C000F" w:tentative="1">
      <w:start w:val="1"/>
      <w:numFmt w:val="decimal"/>
      <w:lvlText w:val="%7."/>
      <w:lvlJc w:val="left"/>
      <w:pPr>
        <w:ind w:left="5112" w:hanging="360"/>
      </w:pPr>
    </w:lvl>
    <w:lvl w:ilvl="7" w:tplc="0C0C0019" w:tentative="1">
      <w:start w:val="1"/>
      <w:numFmt w:val="lowerLetter"/>
      <w:lvlText w:val="%8."/>
      <w:lvlJc w:val="left"/>
      <w:pPr>
        <w:ind w:left="5832" w:hanging="360"/>
      </w:pPr>
    </w:lvl>
    <w:lvl w:ilvl="8" w:tplc="0C0C001B" w:tentative="1">
      <w:start w:val="1"/>
      <w:numFmt w:val="lowerRoman"/>
      <w:lvlText w:val="%9."/>
      <w:lvlJc w:val="right"/>
      <w:pPr>
        <w:ind w:left="6552" w:hanging="180"/>
      </w:pPr>
    </w:lvl>
  </w:abstractNum>
  <w:abstractNum w:abstractNumId="1" w15:restartNumberingAfterBreak="0">
    <w:nsid w:val="18F47D32"/>
    <w:multiLevelType w:val="hybridMultilevel"/>
    <w:tmpl w:val="AB9E438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3E24655"/>
    <w:multiLevelType w:val="hybridMultilevel"/>
    <w:tmpl w:val="DD522ED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28D41090"/>
    <w:multiLevelType w:val="hybridMultilevel"/>
    <w:tmpl w:val="CFAC7F76"/>
    <w:lvl w:ilvl="0" w:tplc="38FA5FC4">
      <w:start w:val="1"/>
      <w:numFmt w:val="lowerRoman"/>
      <w:lvlText w:val="%1."/>
      <w:lvlJc w:val="left"/>
      <w:pPr>
        <w:tabs>
          <w:tab w:val="num" w:pos="720"/>
        </w:tabs>
        <w:ind w:left="720" w:hanging="360"/>
      </w:pPr>
      <w:rPr>
        <w:rFonts w:ascii="Arial" w:eastAsia="Calibri" w:hAnsi="Arial" w:cs="Arial"/>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15:restartNumberingAfterBreak="0">
    <w:nsid w:val="2C3820C5"/>
    <w:multiLevelType w:val="hybridMultilevel"/>
    <w:tmpl w:val="1C486E4A"/>
    <w:lvl w:ilvl="0" w:tplc="79CE618E">
      <w:start w:val="1"/>
      <w:numFmt w:val="lowerLetter"/>
      <w:lvlText w:val="%1)"/>
      <w:lvlJc w:val="left"/>
      <w:pPr>
        <w:tabs>
          <w:tab w:val="num" w:pos="720"/>
        </w:tabs>
        <w:ind w:left="720" w:hanging="360"/>
      </w:pPr>
      <w:rPr>
        <w:rFonts w:ascii="Arial" w:hAnsi="Arial" w:cs="Arial" w:hint="default"/>
        <w:i/>
        <w:sz w:val="22"/>
        <w:szCs w:val="22"/>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15:restartNumberingAfterBreak="0">
    <w:nsid w:val="544B0F7E"/>
    <w:multiLevelType w:val="hybridMultilevel"/>
    <w:tmpl w:val="F14C7E5C"/>
    <w:lvl w:ilvl="0" w:tplc="0C0C0011">
      <w:start w:val="1"/>
      <w:numFmt w:val="decimal"/>
      <w:lvlText w:val="%1)"/>
      <w:lvlJc w:val="left"/>
      <w:pPr>
        <w:ind w:left="792" w:hanging="360"/>
      </w:pPr>
    </w:lvl>
    <w:lvl w:ilvl="1" w:tplc="0C0C0019" w:tentative="1">
      <w:start w:val="1"/>
      <w:numFmt w:val="lowerLetter"/>
      <w:lvlText w:val="%2."/>
      <w:lvlJc w:val="left"/>
      <w:pPr>
        <w:ind w:left="1512" w:hanging="360"/>
      </w:pPr>
    </w:lvl>
    <w:lvl w:ilvl="2" w:tplc="0C0C001B" w:tentative="1">
      <w:start w:val="1"/>
      <w:numFmt w:val="lowerRoman"/>
      <w:lvlText w:val="%3."/>
      <w:lvlJc w:val="right"/>
      <w:pPr>
        <w:ind w:left="2232" w:hanging="180"/>
      </w:pPr>
    </w:lvl>
    <w:lvl w:ilvl="3" w:tplc="0C0C000F" w:tentative="1">
      <w:start w:val="1"/>
      <w:numFmt w:val="decimal"/>
      <w:lvlText w:val="%4."/>
      <w:lvlJc w:val="left"/>
      <w:pPr>
        <w:ind w:left="2952" w:hanging="360"/>
      </w:pPr>
    </w:lvl>
    <w:lvl w:ilvl="4" w:tplc="0C0C0019" w:tentative="1">
      <w:start w:val="1"/>
      <w:numFmt w:val="lowerLetter"/>
      <w:lvlText w:val="%5."/>
      <w:lvlJc w:val="left"/>
      <w:pPr>
        <w:ind w:left="3672" w:hanging="360"/>
      </w:pPr>
    </w:lvl>
    <w:lvl w:ilvl="5" w:tplc="0C0C001B" w:tentative="1">
      <w:start w:val="1"/>
      <w:numFmt w:val="lowerRoman"/>
      <w:lvlText w:val="%6."/>
      <w:lvlJc w:val="right"/>
      <w:pPr>
        <w:ind w:left="4392" w:hanging="180"/>
      </w:pPr>
    </w:lvl>
    <w:lvl w:ilvl="6" w:tplc="0C0C000F" w:tentative="1">
      <w:start w:val="1"/>
      <w:numFmt w:val="decimal"/>
      <w:lvlText w:val="%7."/>
      <w:lvlJc w:val="left"/>
      <w:pPr>
        <w:ind w:left="5112" w:hanging="360"/>
      </w:pPr>
    </w:lvl>
    <w:lvl w:ilvl="7" w:tplc="0C0C0019" w:tentative="1">
      <w:start w:val="1"/>
      <w:numFmt w:val="lowerLetter"/>
      <w:lvlText w:val="%8."/>
      <w:lvlJc w:val="left"/>
      <w:pPr>
        <w:ind w:left="5832" w:hanging="360"/>
      </w:pPr>
    </w:lvl>
    <w:lvl w:ilvl="8" w:tplc="0C0C001B" w:tentative="1">
      <w:start w:val="1"/>
      <w:numFmt w:val="lowerRoman"/>
      <w:lvlText w:val="%9."/>
      <w:lvlJc w:val="right"/>
      <w:pPr>
        <w:ind w:left="6552" w:hanging="180"/>
      </w:pPr>
    </w:lvl>
  </w:abstractNum>
  <w:abstractNum w:abstractNumId="6" w15:restartNumberingAfterBreak="0">
    <w:nsid w:val="77A43051"/>
    <w:multiLevelType w:val="hybridMultilevel"/>
    <w:tmpl w:val="C0AADF3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125271579">
    <w:abstractNumId w:val="3"/>
  </w:num>
  <w:num w:numId="2" w16cid:durableId="534122047">
    <w:abstractNumId w:val="4"/>
  </w:num>
  <w:num w:numId="3" w16cid:durableId="937061234">
    <w:abstractNumId w:val="6"/>
  </w:num>
  <w:num w:numId="4" w16cid:durableId="427503891">
    <w:abstractNumId w:val="1"/>
  </w:num>
  <w:num w:numId="5" w16cid:durableId="1662386690">
    <w:abstractNumId w:val="0"/>
  </w:num>
  <w:num w:numId="6" w16cid:durableId="1194198239">
    <w:abstractNumId w:val="5"/>
  </w:num>
  <w:num w:numId="7" w16cid:durableId="2132732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formatting="1" w:enforcement="1" w:cryptProviderType="rsaAES" w:cryptAlgorithmClass="hash" w:cryptAlgorithmType="typeAny" w:cryptAlgorithmSid="14" w:cryptSpinCount="100000" w:hash="QCitFYD0hjv9r7LQETpoF9NjXrjxlxtPWjJtKnwIMhcc9A8NoDuVNrAEjavcLz1L5XaMU9CWM8+/2USKE6+DjQ==" w:salt="ETKu5sXnd/CLrzAKkAeb/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636"/>
    <w:rsid w:val="000110FD"/>
    <w:rsid w:val="000113EE"/>
    <w:rsid w:val="00033353"/>
    <w:rsid w:val="000349A4"/>
    <w:rsid w:val="0005504A"/>
    <w:rsid w:val="0005713D"/>
    <w:rsid w:val="00057335"/>
    <w:rsid w:val="00057A02"/>
    <w:rsid w:val="000666A5"/>
    <w:rsid w:val="000B6700"/>
    <w:rsid w:val="000D5260"/>
    <w:rsid w:val="000E4E89"/>
    <w:rsid w:val="000F7FAE"/>
    <w:rsid w:val="00101E96"/>
    <w:rsid w:val="0010434E"/>
    <w:rsid w:val="001318D3"/>
    <w:rsid w:val="0014274A"/>
    <w:rsid w:val="00150F79"/>
    <w:rsid w:val="00155C37"/>
    <w:rsid w:val="00160B46"/>
    <w:rsid w:val="00167E70"/>
    <w:rsid w:val="00170B96"/>
    <w:rsid w:val="001C1CAF"/>
    <w:rsid w:val="001F43AB"/>
    <w:rsid w:val="0022232F"/>
    <w:rsid w:val="002260FD"/>
    <w:rsid w:val="00230E6F"/>
    <w:rsid w:val="0023600C"/>
    <w:rsid w:val="002423AB"/>
    <w:rsid w:val="0025117A"/>
    <w:rsid w:val="0025399B"/>
    <w:rsid w:val="00261E1F"/>
    <w:rsid w:val="0028377A"/>
    <w:rsid w:val="002955CE"/>
    <w:rsid w:val="002A74DC"/>
    <w:rsid w:val="002C2B8A"/>
    <w:rsid w:val="002E033B"/>
    <w:rsid w:val="00302D74"/>
    <w:rsid w:val="0031525F"/>
    <w:rsid w:val="00320683"/>
    <w:rsid w:val="00320F6F"/>
    <w:rsid w:val="003222F2"/>
    <w:rsid w:val="00324CE8"/>
    <w:rsid w:val="003319CA"/>
    <w:rsid w:val="003341AA"/>
    <w:rsid w:val="00335473"/>
    <w:rsid w:val="00341F69"/>
    <w:rsid w:val="00353A59"/>
    <w:rsid w:val="0037421A"/>
    <w:rsid w:val="0037627D"/>
    <w:rsid w:val="00384A74"/>
    <w:rsid w:val="003C624A"/>
    <w:rsid w:val="003D3091"/>
    <w:rsid w:val="003E3A51"/>
    <w:rsid w:val="003F7636"/>
    <w:rsid w:val="0040397E"/>
    <w:rsid w:val="004219A4"/>
    <w:rsid w:val="004259D1"/>
    <w:rsid w:val="00433460"/>
    <w:rsid w:val="004528C2"/>
    <w:rsid w:val="00452B35"/>
    <w:rsid w:val="00454554"/>
    <w:rsid w:val="004749D9"/>
    <w:rsid w:val="00481ABC"/>
    <w:rsid w:val="00484AF9"/>
    <w:rsid w:val="00490222"/>
    <w:rsid w:val="004A4E1E"/>
    <w:rsid w:val="004C0647"/>
    <w:rsid w:val="004C5AD2"/>
    <w:rsid w:val="004D5E31"/>
    <w:rsid w:val="004D74CF"/>
    <w:rsid w:val="004E16D0"/>
    <w:rsid w:val="005167EB"/>
    <w:rsid w:val="00551987"/>
    <w:rsid w:val="0055684E"/>
    <w:rsid w:val="00560C45"/>
    <w:rsid w:val="005636BC"/>
    <w:rsid w:val="005732EF"/>
    <w:rsid w:val="00581E45"/>
    <w:rsid w:val="00586B07"/>
    <w:rsid w:val="005E1C85"/>
    <w:rsid w:val="006070F5"/>
    <w:rsid w:val="0062510D"/>
    <w:rsid w:val="0063505F"/>
    <w:rsid w:val="00652BA1"/>
    <w:rsid w:val="006636A5"/>
    <w:rsid w:val="00693F6C"/>
    <w:rsid w:val="006942A7"/>
    <w:rsid w:val="006A020D"/>
    <w:rsid w:val="006B1E62"/>
    <w:rsid w:val="006B330D"/>
    <w:rsid w:val="006D0D3E"/>
    <w:rsid w:val="00702B3E"/>
    <w:rsid w:val="00703A6F"/>
    <w:rsid w:val="007059E3"/>
    <w:rsid w:val="007239AB"/>
    <w:rsid w:val="007361F2"/>
    <w:rsid w:val="00742316"/>
    <w:rsid w:val="00743E9D"/>
    <w:rsid w:val="00751709"/>
    <w:rsid w:val="007540A3"/>
    <w:rsid w:val="00756823"/>
    <w:rsid w:val="007666AD"/>
    <w:rsid w:val="00771226"/>
    <w:rsid w:val="007912E3"/>
    <w:rsid w:val="007A58AB"/>
    <w:rsid w:val="007D2048"/>
    <w:rsid w:val="007D535C"/>
    <w:rsid w:val="00811636"/>
    <w:rsid w:val="008178F4"/>
    <w:rsid w:val="00830BC5"/>
    <w:rsid w:val="008419DE"/>
    <w:rsid w:val="00844257"/>
    <w:rsid w:val="00875ADC"/>
    <w:rsid w:val="00881FB0"/>
    <w:rsid w:val="00891CF0"/>
    <w:rsid w:val="00896040"/>
    <w:rsid w:val="008B42CF"/>
    <w:rsid w:val="008B6778"/>
    <w:rsid w:val="008C19B7"/>
    <w:rsid w:val="008C4146"/>
    <w:rsid w:val="008C52B1"/>
    <w:rsid w:val="008D2302"/>
    <w:rsid w:val="008F1C27"/>
    <w:rsid w:val="0092026C"/>
    <w:rsid w:val="00952FC5"/>
    <w:rsid w:val="009822FA"/>
    <w:rsid w:val="009A1C5B"/>
    <w:rsid w:val="009A3FB0"/>
    <w:rsid w:val="009A5A1E"/>
    <w:rsid w:val="009C1028"/>
    <w:rsid w:val="009C49EF"/>
    <w:rsid w:val="009D17ED"/>
    <w:rsid w:val="00A06E69"/>
    <w:rsid w:val="00A20753"/>
    <w:rsid w:val="00A65192"/>
    <w:rsid w:val="00A81492"/>
    <w:rsid w:val="00A835EC"/>
    <w:rsid w:val="00AB2101"/>
    <w:rsid w:val="00AD7561"/>
    <w:rsid w:val="00AE1377"/>
    <w:rsid w:val="00AE35B7"/>
    <w:rsid w:val="00AE37C0"/>
    <w:rsid w:val="00AF4BFD"/>
    <w:rsid w:val="00B07B81"/>
    <w:rsid w:val="00B2399B"/>
    <w:rsid w:val="00B256C5"/>
    <w:rsid w:val="00B33245"/>
    <w:rsid w:val="00B442D6"/>
    <w:rsid w:val="00B60B63"/>
    <w:rsid w:val="00B817F3"/>
    <w:rsid w:val="00B92431"/>
    <w:rsid w:val="00BC13EA"/>
    <w:rsid w:val="00BD7462"/>
    <w:rsid w:val="00BF7B54"/>
    <w:rsid w:val="00C03F47"/>
    <w:rsid w:val="00C056A2"/>
    <w:rsid w:val="00C07D97"/>
    <w:rsid w:val="00C31461"/>
    <w:rsid w:val="00C81C21"/>
    <w:rsid w:val="00C962EC"/>
    <w:rsid w:val="00CA6819"/>
    <w:rsid w:val="00CF0C8D"/>
    <w:rsid w:val="00CF25F9"/>
    <w:rsid w:val="00CF2D53"/>
    <w:rsid w:val="00D0148C"/>
    <w:rsid w:val="00D419A3"/>
    <w:rsid w:val="00D80C57"/>
    <w:rsid w:val="00D876D3"/>
    <w:rsid w:val="00DA36A1"/>
    <w:rsid w:val="00DA7E35"/>
    <w:rsid w:val="00DF52A2"/>
    <w:rsid w:val="00E13F84"/>
    <w:rsid w:val="00E204CE"/>
    <w:rsid w:val="00E45544"/>
    <w:rsid w:val="00E517B2"/>
    <w:rsid w:val="00E93686"/>
    <w:rsid w:val="00E95787"/>
    <w:rsid w:val="00E96D8F"/>
    <w:rsid w:val="00EB5B8E"/>
    <w:rsid w:val="00ED097F"/>
    <w:rsid w:val="00EE029D"/>
    <w:rsid w:val="00EF5DC3"/>
    <w:rsid w:val="00F24BB8"/>
    <w:rsid w:val="00F26AA3"/>
    <w:rsid w:val="00F335B0"/>
    <w:rsid w:val="00F558EF"/>
    <w:rsid w:val="00F708C3"/>
    <w:rsid w:val="00F76C87"/>
    <w:rsid w:val="00FB2037"/>
    <w:rsid w:val="00FB5699"/>
    <w:rsid w:val="00FD2FAE"/>
    <w:rsid w:val="00FD7699"/>
    <w:rsid w:val="00FE1F7B"/>
    <w:rsid w:val="00FF67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91D5B"/>
  <w15:docId w15:val="{6EAEDBD2-3662-493F-B564-A50CFEC9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F7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384A74"/>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384A74"/>
    <w:rPr>
      <w:rFonts w:ascii="Times New Roman" w:eastAsia="Times New Roman" w:hAnsi="Times New Roman" w:cs="Times New Roman"/>
      <w:sz w:val="20"/>
      <w:szCs w:val="20"/>
      <w:lang w:eastAsia="fr-CA"/>
    </w:rPr>
  </w:style>
  <w:style w:type="character" w:styleId="Appelnotedebasdep">
    <w:name w:val="footnote reference"/>
    <w:semiHidden/>
    <w:rsid w:val="00384A74"/>
    <w:rPr>
      <w:vertAlign w:val="superscript"/>
    </w:rPr>
  </w:style>
  <w:style w:type="paragraph" w:styleId="Paragraphedeliste">
    <w:name w:val="List Paragraph"/>
    <w:basedOn w:val="Normal"/>
    <w:uiPriority w:val="34"/>
    <w:qFormat/>
    <w:rsid w:val="00CF0C8D"/>
    <w:pPr>
      <w:ind w:left="720"/>
      <w:contextualSpacing/>
    </w:pPr>
  </w:style>
  <w:style w:type="character" w:customStyle="1" w:styleId="reference1">
    <w:name w:val="reference1"/>
    <w:basedOn w:val="Policepardfaut"/>
    <w:rsid w:val="00551987"/>
  </w:style>
  <w:style w:type="character" w:customStyle="1" w:styleId="date2">
    <w:name w:val="date2"/>
    <w:basedOn w:val="Policepardfaut"/>
    <w:rsid w:val="00551987"/>
  </w:style>
  <w:style w:type="character" w:customStyle="1" w:styleId="name">
    <w:name w:val="name"/>
    <w:basedOn w:val="Policepardfaut"/>
    <w:rsid w:val="00551987"/>
  </w:style>
  <w:style w:type="paragraph" w:styleId="En-tte">
    <w:name w:val="header"/>
    <w:basedOn w:val="Normal"/>
    <w:link w:val="En-tteCar"/>
    <w:uiPriority w:val="99"/>
    <w:unhideWhenUsed/>
    <w:rsid w:val="00CF2D53"/>
    <w:pPr>
      <w:tabs>
        <w:tab w:val="center" w:pos="4703"/>
        <w:tab w:val="right" w:pos="9406"/>
      </w:tabs>
      <w:spacing w:after="0" w:line="240" w:lineRule="auto"/>
    </w:pPr>
  </w:style>
  <w:style w:type="character" w:customStyle="1" w:styleId="En-tteCar">
    <w:name w:val="En-tête Car"/>
    <w:basedOn w:val="Policepardfaut"/>
    <w:link w:val="En-tte"/>
    <w:uiPriority w:val="99"/>
    <w:rsid w:val="00CF2D53"/>
  </w:style>
  <w:style w:type="paragraph" w:styleId="Pieddepage">
    <w:name w:val="footer"/>
    <w:basedOn w:val="Normal"/>
    <w:link w:val="PieddepageCar"/>
    <w:uiPriority w:val="99"/>
    <w:unhideWhenUsed/>
    <w:rsid w:val="00CF2D53"/>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F2D53"/>
  </w:style>
  <w:style w:type="paragraph" w:styleId="Textedebulles">
    <w:name w:val="Balloon Text"/>
    <w:basedOn w:val="Normal"/>
    <w:link w:val="TextedebullesCar"/>
    <w:uiPriority w:val="99"/>
    <w:semiHidden/>
    <w:unhideWhenUsed/>
    <w:rsid w:val="000573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7335"/>
    <w:rPr>
      <w:rFonts w:ascii="Tahoma" w:hAnsi="Tahoma" w:cs="Tahoma"/>
      <w:sz w:val="16"/>
      <w:szCs w:val="16"/>
    </w:rPr>
  </w:style>
  <w:style w:type="character" w:styleId="Marquedecommentaire">
    <w:name w:val="annotation reference"/>
    <w:basedOn w:val="Policepardfaut"/>
    <w:uiPriority w:val="99"/>
    <w:semiHidden/>
    <w:unhideWhenUsed/>
    <w:rsid w:val="005E1C85"/>
    <w:rPr>
      <w:sz w:val="16"/>
      <w:szCs w:val="16"/>
    </w:rPr>
  </w:style>
  <w:style w:type="paragraph" w:styleId="Commentaire">
    <w:name w:val="annotation text"/>
    <w:basedOn w:val="Normal"/>
    <w:link w:val="CommentaireCar"/>
    <w:uiPriority w:val="99"/>
    <w:semiHidden/>
    <w:unhideWhenUsed/>
    <w:rsid w:val="005E1C85"/>
    <w:pPr>
      <w:spacing w:line="240" w:lineRule="auto"/>
    </w:pPr>
    <w:rPr>
      <w:sz w:val="20"/>
      <w:szCs w:val="20"/>
    </w:rPr>
  </w:style>
  <w:style w:type="character" w:customStyle="1" w:styleId="CommentaireCar">
    <w:name w:val="Commentaire Car"/>
    <w:basedOn w:val="Policepardfaut"/>
    <w:link w:val="Commentaire"/>
    <w:uiPriority w:val="99"/>
    <w:semiHidden/>
    <w:rsid w:val="005E1C85"/>
    <w:rPr>
      <w:sz w:val="20"/>
      <w:szCs w:val="20"/>
    </w:rPr>
  </w:style>
  <w:style w:type="paragraph" w:styleId="Objetducommentaire">
    <w:name w:val="annotation subject"/>
    <w:basedOn w:val="Commentaire"/>
    <w:next w:val="Commentaire"/>
    <w:link w:val="ObjetducommentaireCar"/>
    <w:uiPriority w:val="99"/>
    <w:semiHidden/>
    <w:unhideWhenUsed/>
    <w:rsid w:val="005E1C85"/>
    <w:rPr>
      <w:b/>
      <w:bCs/>
    </w:rPr>
  </w:style>
  <w:style w:type="character" w:customStyle="1" w:styleId="ObjetducommentaireCar">
    <w:name w:val="Objet du commentaire Car"/>
    <w:basedOn w:val="CommentaireCar"/>
    <w:link w:val="Objetducommentaire"/>
    <w:uiPriority w:val="99"/>
    <w:semiHidden/>
    <w:rsid w:val="005E1C85"/>
    <w:rPr>
      <w:b/>
      <w:bCs/>
      <w:sz w:val="20"/>
      <w:szCs w:val="20"/>
    </w:rPr>
  </w:style>
  <w:style w:type="character" w:styleId="Lienhypertexte">
    <w:name w:val="Hyperlink"/>
    <w:basedOn w:val="Policepardfaut"/>
    <w:uiPriority w:val="99"/>
    <w:unhideWhenUsed/>
    <w:rsid w:val="0062510D"/>
    <w:rPr>
      <w:color w:val="0000FF" w:themeColor="hyperlink"/>
      <w:u w:val="single"/>
    </w:rPr>
  </w:style>
  <w:style w:type="character" w:styleId="Mentionnonrsolue">
    <w:name w:val="Unresolved Mention"/>
    <w:basedOn w:val="Policepardfaut"/>
    <w:uiPriority w:val="99"/>
    <w:semiHidden/>
    <w:unhideWhenUsed/>
    <w:rsid w:val="0062510D"/>
    <w:rPr>
      <w:color w:val="808080"/>
      <w:shd w:val="clear" w:color="auto" w:fill="E6E6E6"/>
    </w:rPr>
  </w:style>
  <w:style w:type="character" w:styleId="Lienhypertextesuivivisit">
    <w:name w:val="FollowedHyperlink"/>
    <w:basedOn w:val="Policepardfaut"/>
    <w:uiPriority w:val="99"/>
    <w:semiHidden/>
    <w:unhideWhenUsed/>
    <w:rsid w:val="00F26A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8955">
      <w:bodyDiv w:val="1"/>
      <w:marLeft w:val="1200"/>
      <w:marRight w:val="1200"/>
      <w:marTop w:val="150"/>
      <w:marBottom w:val="0"/>
      <w:divBdr>
        <w:top w:val="none" w:sz="0" w:space="0" w:color="auto"/>
        <w:left w:val="none" w:sz="0" w:space="0" w:color="auto"/>
        <w:bottom w:val="none" w:sz="0" w:space="0" w:color="auto"/>
        <w:right w:val="none" w:sz="0" w:space="0" w:color="auto"/>
      </w:divBdr>
      <w:divsChild>
        <w:div w:id="306591972">
          <w:marLeft w:val="0"/>
          <w:marRight w:val="0"/>
          <w:marTop w:val="0"/>
          <w:marBottom w:val="0"/>
          <w:divBdr>
            <w:top w:val="none" w:sz="0" w:space="0" w:color="auto"/>
            <w:left w:val="none" w:sz="0" w:space="0" w:color="auto"/>
            <w:bottom w:val="none" w:sz="0" w:space="0" w:color="auto"/>
            <w:right w:val="none" w:sz="0" w:space="0" w:color="auto"/>
          </w:divBdr>
          <w:divsChild>
            <w:div w:id="320349856">
              <w:marLeft w:val="450"/>
              <w:marRight w:val="0"/>
              <w:marTop w:val="0"/>
              <w:marBottom w:val="0"/>
              <w:divBdr>
                <w:top w:val="none" w:sz="0" w:space="0" w:color="auto"/>
                <w:left w:val="none" w:sz="0" w:space="0" w:color="auto"/>
                <w:bottom w:val="none" w:sz="0" w:space="0" w:color="auto"/>
                <w:right w:val="none" w:sz="0" w:space="0" w:color="auto"/>
              </w:divBdr>
            </w:div>
            <w:div w:id="1295450178">
              <w:marLeft w:val="450"/>
              <w:marRight w:val="0"/>
              <w:marTop w:val="0"/>
              <w:marBottom w:val="0"/>
              <w:divBdr>
                <w:top w:val="none" w:sz="0" w:space="0" w:color="auto"/>
                <w:left w:val="none" w:sz="0" w:space="0" w:color="auto"/>
                <w:bottom w:val="none" w:sz="0" w:space="0" w:color="auto"/>
                <w:right w:val="none" w:sz="0" w:space="0" w:color="auto"/>
              </w:divBdr>
            </w:div>
            <w:div w:id="1940483302">
              <w:marLeft w:val="0"/>
              <w:marRight w:val="0"/>
              <w:marTop w:val="0"/>
              <w:marBottom w:val="0"/>
              <w:divBdr>
                <w:top w:val="none" w:sz="0" w:space="0" w:color="auto"/>
                <w:left w:val="none" w:sz="0" w:space="0" w:color="auto"/>
                <w:bottom w:val="none" w:sz="0" w:space="0" w:color="auto"/>
                <w:right w:val="none" w:sz="0" w:space="0" w:color="auto"/>
              </w:divBdr>
            </w:div>
            <w:div w:id="1408452392">
              <w:marLeft w:val="450"/>
              <w:marRight w:val="0"/>
              <w:marTop w:val="0"/>
              <w:marBottom w:val="0"/>
              <w:divBdr>
                <w:top w:val="none" w:sz="0" w:space="0" w:color="auto"/>
                <w:left w:val="none" w:sz="0" w:space="0" w:color="auto"/>
                <w:bottom w:val="none" w:sz="0" w:space="0" w:color="auto"/>
                <w:right w:val="none" w:sz="0" w:space="0" w:color="auto"/>
              </w:divBdr>
            </w:div>
            <w:div w:id="1844782774">
              <w:marLeft w:val="0"/>
              <w:marRight w:val="0"/>
              <w:marTop w:val="0"/>
              <w:marBottom w:val="0"/>
              <w:divBdr>
                <w:top w:val="none" w:sz="0" w:space="0" w:color="auto"/>
                <w:left w:val="none" w:sz="0" w:space="0" w:color="auto"/>
                <w:bottom w:val="none" w:sz="0" w:space="0" w:color="auto"/>
                <w:right w:val="none" w:sz="0" w:space="0" w:color="auto"/>
              </w:divBdr>
            </w:div>
            <w:div w:id="575825602">
              <w:marLeft w:val="450"/>
              <w:marRight w:val="0"/>
              <w:marTop w:val="0"/>
              <w:marBottom w:val="0"/>
              <w:divBdr>
                <w:top w:val="none" w:sz="0" w:space="0" w:color="auto"/>
                <w:left w:val="none" w:sz="0" w:space="0" w:color="auto"/>
                <w:bottom w:val="none" w:sz="0" w:space="0" w:color="auto"/>
                <w:right w:val="none" w:sz="0" w:space="0" w:color="auto"/>
              </w:divBdr>
            </w:div>
            <w:div w:id="1233857197">
              <w:marLeft w:val="450"/>
              <w:marRight w:val="0"/>
              <w:marTop w:val="0"/>
              <w:marBottom w:val="0"/>
              <w:divBdr>
                <w:top w:val="none" w:sz="0" w:space="0" w:color="auto"/>
                <w:left w:val="none" w:sz="0" w:space="0" w:color="auto"/>
                <w:bottom w:val="none" w:sz="0" w:space="0" w:color="auto"/>
                <w:right w:val="none" w:sz="0" w:space="0" w:color="auto"/>
              </w:divBdr>
            </w:div>
            <w:div w:id="1115174215">
              <w:marLeft w:val="450"/>
              <w:marRight w:val="0"/>
              <w:marTop w:val="0"/>
              <w:marBottom w:val="0"/>
              <w:divBdr>
                <w:top w:val="none" w:sz="0" w:space="0" w:color="auto"/>
                <w:left w:val="none" w:sz="0" w:space="0" w:color="auto"/>
                <w:bottom w:val="none" w:sz="0" w:space="0" w:color="auto"/>
                <w:right w:val="none" w:sz="0" w:space="0" w:color="auto"/>
              </w:divBdr>
            </w:div>
            <w:div w:id="34552580">
              <w:marLeft w:val="450"/>
              <w:marRight w:val="0"/>
              <w:marTop w:val="0"/>
              <w:marBottom w:val="0"/>
              <w:divBdr>
                <w:top w:val="none" w:sz="0" w:space="0" w:color="auto"/>
                <w:left w:val="none" w:sz="0" w:space="0" w:color="auto"/>
                <w:bottom w:val="none" w:sz="0" w:space="0" w:color="auto"/>
                <w:right w:val="none" w:sz="0" w:space="0" w:color="auto"/>
              </w:divBdr>
            </w:div>
            <w:div w:id="750540509">
              <w:marLeft w:val="450"/>
              <w:marRight w:val="0"/>
              <w:marTop w:val="0"/>
              <w:marBottom w:val="0"/>
              <w:divBdr>
                <w:top w:val="none" w:sz="0" w:space="0" w:color="auto"/>
                <w:left w:val="none" w:sz="0" w:space="0" w:color="auto"/>
                <w:bottom w:val="none" w:sz="0" w:space="0" w:color="auto"/>
                <w:right w:val="none" w:sz="0" w:space="0" w:color="auto"/>
              </w:divBdr>
            </w:div>
            <w:div w:id="2032800572">
              <w:marLeft w:val="0"/>
              <w:marRight w:val="0"/>
              <w:marTop w:val="0"/>
              <w:marBottom w:val="0"/>
              <w:divBdr>
                <w:top w:val="none" w:sz="0" w:space="0" w:color="auto"/>
                <w:left w:val="none" w:sz="0" w:space="0" w:color="auto"/>
                <w:bottom w:val="none" w:sz="0" w:space="0" w:color="auto"/>
                <w:right w:val="none" w:sz="0" w:space="0" w:color="auto"/>
              </w:divBdr>
            </w:div>
            <w:div w:id="211651316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352654162">
      <w:bodyDiv w:val="1"/>
      <w:marLeft w:val="0"/>
      <w:marRight w:val="0"/>
      <w:marTop w:val="0"/>
      <w:marBottom w:val="0"/>
      <w:divBdr>
        <w:top w:val="none" w:sz="0" w:space="0" w:color="auto"/>
        <w:left w:val="none" w:sz="0" w:space="0" w:color="auto"/>
        <w:bottom w:val="none" w:sz="0" w:space="0" w:color="auto"/>
        <w:right w:val="none" w:sz="0" w:space="0" w:color="auto"/>
      </w:divBdr>
      <w:divsChild>
        <w:div w:id="1089815903">
          <w:marLeft w:val="0"/>
          <w:marRight w:val="0"/>
          <w:marTop w:val="219"/>
          <w:marBottom w:val="240"/>
          <w:divBdr>
            <w:top w:val="none" w:sz="0" w:space="0" w:color="auto"/>
            <w:left w:val="none" w:sz="0" w:space="0" w:color="auto"/>
            <w:bottom w:val="none" w:sz="0" w:space="0" w:color="auto"/>
            <w:right w:val="none" w:sz="0" w:space="0" w:color="auto"/>
          </w:divBdr>
        </w:div>
        <w:div w:id="730151921">
          <w:marLeft w:val="0"/>
          <w:marRight w:val="0"/>
          <w:marTop w:val="260"/>
          <w:marBottom w:val="240"/>
          <w:divBdr>
            <w:top w:val="none" w:sz="0" w:space="0" w:color="auto"/>
            <w:left w:val="none" w:sz="0" w:space="0" w:color="auto"/>
            <w:bottom w:val="none" w:sz="0" w:space="0" w:color="auto"/>
            <w:right w:val="none" w:sz="0" w:space="0" w:color="auto"/>
          </w:divBdr>
          <w:divsChild>
            <w:div w:id="1988704454">
              <w:marLeft w:val="0"/>
              <w:marRight w:val="0"/>
              <w:marTop w:val="219"/>
              <w:marBottom w:val="0"/>
              <w:divBdr>
                <w:top w:val="none" w:sz="0" w:space="0" w:color="auto"/>
                <w:left w:val="none" w:sz="0" w:space="0" w:color="auto"/>
                <w:bottom w:val="none" w:sz="0" w:space="0" w:color="auto"/>
                <w:right w:val="none" w:sz="0" w:space="0" w:color="auto"/>
              </w:divBdr>
            </w:div>
            <w:div w:id="655034271">
              <w:marLeft w:val="0"/>
              <w:marRight w:val="0"/>
              <w:marTop w:val="219"/>
              <w:marBottom w:val="0"/>
              <w:divBdr>
                <w:top w:val="none" w:sz="0" w:space="0" w:color="auto"/>
                <w:left w:val="none" w:sz="0" w:space="0" w:color="auto"/>
                <w:bottom w:val="none" w:sz="0" w:space="0" w:color="auto"/>
                <w:right w:val="none" w:sz="0" w:space="0" w:color="auto"/>
              </w:divBdr>
            </w:div>
            <w:div w:id="1669090102">
              <w:marLeft w:val="0"/>
              <w:marRight w:val="0"/>
              <w:marTop w:val="219"/>
              <w:marBottom w:val="0"/>
              <w:divBdr>
                <w:top w:val="none" w:sz="0" w:space="0" w:color="auto"/>
                <w:left w:val="none" w:sz="0" w:space="0" w:color="auto"/>
                <w:bottom w:val="none" w:sz="0" w:space="0" w:color="auto"/>
                <w:right w:val="none" w:sz="0" w:space="0" w:color="auto"/>
              </w:divBdr>
            </w:div>
            <w:div w:id="1924532502">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 w:id="1853760852">
      <w:bodyDiv w:val="1"/>
      <w:marLeft w:val="0"/>
      <w:marRight w:val="0"/>
      <w:marTop w:val="0"/>
      <w:marBottom w:val="0"/>
      <w:divBdr>
        <w:top w:val="none" w:sz="0" w:space="0" w:color="auto"/>
        <w:left w:val="none" w:sz="0" w:space="0" w:color="auto"/>
        <w:bottom w:val="none" w:sz="0" w:space="0" w:color="auto"/>
        <w:right w:val="none" w:sz="0" w:space="0" w:color="auto"/>
      </w:divBdr>
      <w:divsChild>
        <w:div w:id="1888492558">
          <w:marLeft w:val="0"/>
          <w:marRight w:val="0"/>
          <w:marTop w:val="219"/>
          <w:marBottom w:val="240"/>
          <w:divBdr>
            <w:top w:val="none" w:sz="0" w:space="0" w:color="auto"/>
            <w:left w:val="none" w:sz="0" w:space="0" w:color="auto"/>
            <w:bottom w:val="none" w:sz="0" w:space="0" w:color="auto"/>
            <w:right w:val="none" w:sz="0" w:space="0" w:color="auto"/>
          </w:divBdr>
        </w:div>
        <w:div w:id="14112424">
          <w:marLeft w:val="0"/>
          <w:marRight w:val="0"/>
          <w:marTop w:val="260"/>
          <w:marBottom w:val="240"/>
          <w:divBdr>
            <w:top w:val="none" w:sz="0" w:space="0" w:color="auto"/>
            <w:left w:val="none" w:sz="0" w:space="0" w:color="auto"/>
            <w:bottom w:val="none" w:sz="0" w:space="0" w:color="auto"/>
            <w:right w:val="none" w:sz="0" w:space="0" w:color="auto"/>
          </w:divBdr>
          <w:divsChild>
            <w:div w:id="1136993952">
              <w:marLeft w:val="0"/>
              <w:marRight w:val="0"/>
              <w:marTop w:val="219"/>
              <w:marBottom w:val="0"/>
              <w:divBdr>
                <w:top w:val="none" w:sz="0" w:space="0" w:color="auto"/>
                <w:left w:val="none" w:sz="0" w:space="0" w:color="auto"/>
                <w:bottom w:val="none" w:sz="0" w:space="0" w:color="auto"/>
                <w:right w:val="none" w:sz="0" w:space="0" w:color="auto"/>
              </w:divBdr>
            </w:div>
            <w:div w:id="1455324912">
              <w:marLeft w:val="0"/>
              <w:marRight w:val="0"/>
              <w:marTop w:val="219"/>
              <w:marBottom w:val="0"/>
              <w:divBdr>
                <w:top w:val="none" w:sz="0" w:space="0" w:color="auto"/>
                <w:left w:val="none" w:sz="0" w:space="0" w:color="auto"/>
                <w:bottom w:val="none" w:sz="0" w:space="0" w:color="auto"/>
                <w:right w:val="none" w:sz="0" w:space="0" w:color="auto"/>
              </w:divBdr>
            </w:div>
            <w:div w:id="1600991575">
              <w:marLeft w:val="0"/>
              <w:marRight w:val="0"/>
              <w:marTop w:val="219"/>
              <w:marBottom w:val="0"/>
              <w:divBdr>
                <w:top w:val="none" w:sz="0" w:space="0" w:color="auto"/>
                <w:left w:val="none" w:sz="0" w:space="0" w:color="auto"/>
                <w:bottom w:val="none" w:sz="0" w:space="0" w:color="auto"/>
                <w:right w:val="none" w:sz="0" w:space="0" w:color="auto"/>
              </w:divBdr>
            </w:div>
            <w:div w:id="1589071110">
              <w:marLeft w:val="0"/>
              <w:marRight w:val="0"/>
              <w:marTop w:val="219"/>
              <w:marBottom w:val="0"/>
              <w:divBdr>
                <w:top w:val="none" w:sz="0" w:space="0" w:color="auto"/>
                <w:left w:val="none" w:sz="0" w:space="0" w:color="auto"/>
                <w:bottom w:val="none" w:sz="0" w:space="0" w:color="auto"/>
                <w:right w:val="none" w:sz="0" w:space="0" w:color="auto"/>
              </w:divBdr>
            </w:div>
          </w:divsChild>
        </w:div>
        <w:div w:id="389233464">
          <w:marLeft w:val="0"/>
          <w:marRight w:val="0"/>
          <w:marTop w:val="26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lii.org/fr/qc/qcca/doc/2012/2012qcca988/2012qcca988.pdf" TargetMode="External"/><Relationship Id="rId18" Type="http://schemas.openxmlformats.org/officeDocument/2006/relationships/hyperlink" Target="http://www.cdpdj.qc.ca/Publications/etude_inclusion_EHDAA.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canlii.org/fr/qc/qcca/doc/2006/2006qcca82/2006qcca82.pdf" TargetMode="External"/><Relationship Id="rId17" Type="http://schemas.openxmlformats.org/officeDocument/2006/relationships/hyperlink" Target="https://canlii.ca/t/1f8v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canlii.ca/t/1fcl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lii.org/fr/qc/qcca/doc/2017/2017qcca286/2017qcca286.pdf"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canlii.ca/t/1gsl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cdpdj.qc.ca/Publications/etude_inclusion_EHDAA_synthes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lii.org/fr/ca/csc/doc/2012/2012csc61/2012csc61.pdf"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D77689D954A24FA5AFE9EE048FE6A1" ma:contentTypeVersion="2" ma:contentTypeDescription="Crée un document." ma:contentTypeScope="" ma:versionID="3bac308958f1f16526af8cc444f0b197">
  <xsd:schema xmlns:xsd="http://www.w3.org/2001/XMLSchema" xmlns:xs="http://www.w3.org/2001/XMLSchema" xmlns:p="http://schemas.microsoft.com/office/2006/metadata/properties" xmlns:ns2="c045b935-6ec4-4ec3-891d-74039e841052" targetNamespace="http://schemas.microsoft.com/office/2006/metadata/properties" ma:root="true" ma:fieldsID="02003461828d2eb98608dcc400c87e8c" ns2:_="">
    <xsd:import namespace="c045b935-6ec4-4ec3-891d-74039e84105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5b935-6ec4-4ec3-891d-74039e841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5AB31-9C43-4836-8F36-AF2D4D99B5EC}">
  <ds:schemaRefs>
    <ds:schemaRef ds:uri="http://schemas.microsoft.com/sharepoint/v3/contenttype/forms"/>
  </ds:schemaRefs>
</ds:datastoreItem>
</file>

<file path=customXml/itemProps2.xml><?xml version="1.0" encoding="utf-8"?>
<ds:datastoreItem xmlns:ds="http://schemas.openxmlformats.org/officeDocument/2006/customXml" ds:itemID="{89A70018-6681-45BE-A2DF-2F6A32ED2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5b935-6ec4-4ec3-891d-74039e841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FCE1A8-2CF5-4128-86BE-B357578F5C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B5480F-9C76-4528-A655-C1B51DB8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1493</Words>
  <Characters>8213</Characters>
  <Application>Microsoft Office Word</Application>
  <DocSecurity>8</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CDPDJ</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OUTILS D’AIDE AU TRAITEMENT DES DOSSIERS :  SERVICES ÉDUCATIFS AUX ENFANTS EN SITUATION DE HANDICAP</dc:title>
  <dc:creator>Commission des droits de la personne et des droits de la jeunesse</dc:creator>
  <cp:keywords>Éducation; Services éducatifs; Enfants; Handicap; Inclusion;Élèves handicapés; HDAA; Plainte; Commission des droits de la personne et des droits de la jeunesse; Charte des droits et libertés de la personne; Québec</cp:keywords>
  <cp:lastModifiedBy>Sophie Ambrosi</cp:lastModifiedBy>
  <cp:revision>14</cp:revision>
  <cp:lastPrinted>2023-07-12T20:36:00Z</cp:lastPrinted>
  <dcterms:created xsi:type="dcterms:W3CDTF">2023-05-31T16:45:00Z</dcterms:created>
  <dcterms:modified xsi:type="dcterms:W3CDTF">2023-07-13T22:21:00Z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0x0101004ED77689D954A24FA5AFE9EE048FE6A1</vt:lpwstr>
  </property>
  <property fmtid="{D5CDD505-2E9C-101B-9397-08002B2CF9AE}" pid="3" name="Order">
    <vt:r8>151700</vt:r8>
  </property>
  <property fmtid="{D5CDD505-2E9C-101B-9397-08002B2CF9AE}" pid="4" name="ComplianceAssetId">
    <vt:lpwstr/>
  </property>
</Properties>
</file>